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0EDE" w14:textId="77777777" w:rsidR="006763E6" w:rsidRDefault="00C06837" w:rsidP="006763E6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 xml:space="preserve">Meldeskjema for grunnvannsuttak </w:t>
      </w:r>
    </w:p>
    <w:p w14:paraId="093A1F23" w14:textId="77777777" w:rsidR="00387B0A" w:rsidRPr="00055249" w:rsidRDefault="00387B0A" w:rsidP="00387B0A">
      <w:pPr>
        <w:pStyle w:val="Brdtekst"/>
        <w:rPr>
          <w:b/>
        </w:rPr>
      </w:pPr>
      <w:r w:rsidRPr="00055249">
        <w:rPr>
          <w:b/>
        </w:rPr>
        <w:t>Veiledningen på denne siden</w:t>
      </w:r>
      <w:r w:rsidR="006763E6">
        <w:rPr>
          <w:b/>
        </w:rPr>
        <w:t xml:space="preserve"> kan med fordel</w:t>
      </w:r>
      <w:r w:rsidRPr="00055249">
        <w:rPr>
          <w:b/>
        </w:rPr>
        <w:t xml:space="preserve"> slettes før meldeskjemaet sendes inn.</w:t>
      </w:r>
      <w:r w:rsidR="006763E6">
        <w:rPr>
          <w:b/>
        </w:rPr>
        <w:t xml:space="preserve"> </w:t>
      </w:r>
    </w:p>
    <w:p w14:paraId="15C935F1" w14:textId="77777777" w:rsidR="00257498" w:rsidRDefault="006763E6" w:rsidP="00257498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>V</w:t>
      </w:r>
      <w:r w:rsidR="00257498" w:rsidRPr="00387B0A">
        <w:rPr>
          <w:sz w:val="36"/>
          <w:szCs w:val="36"/>
        </w:rPr>
        <w:t>eiledning</w:t>
      </w:r>
    </w:p>
    <w:p w14:paraId="6327292D" w14:textId="77777777" w:rsidR="00C06837" w:rsidRDefault="00C06837" w:rsidP="00C06837">
      <w:pPr>
        <w:pStyle w:val="Overskrift3"/>
      </w:pPr>
      <w:r>
        <w:t>Om meldeplikten</w:t>
      </w:r>
      <w:r w:rsidR="00680F39">
        <w:t xml:space="preserve"> og konsesjonspliktvurdering</w:t>
      </w:r>
    </w:p>
    <w:p w14:paraId="7063A040" w14:textId="026B9BFA" w:rsidR="00680F39" w:rsidRPr="00680F39" w:rsidRDefault="00680F39" w:rsidP="00680F39">
      <w:pPr>
        <w:pStyle w:val="Brdtekst"/>
      </w:pPr>
      <w:r>
        <w:t xml:space="preserve">Dette skjemaet kan benyttes </w:t>
      </w:r>
      <w:r w:rsidRPr="004A3D8F">
        <w:rPr>
          <w:u w:val="single"/>
        </w:rPr>
        <w:t>både</w:t>
      </w:r>
      <w:r>
        <w:t xml:space="preserve"> for meldepliktige grunnvannsuttak og uttak av grunnvann</w:t>
      </w:r>
      <w:r w:rsidR="0050123E">
        <w:t>/grunnvannstiltak</w:t>
      </w:r>
      <w:r w:rsidR="004A3D8F">
        <w:t xml:space="preserve"> som ikke er meldepliktig</w:t>
      </w:r>
      <w:r w:rsidR="0020098F">
        <w:t>,</w:t>
      </w:r>
      <w:r>
        <w:t xml:space="preserve"> der tiltakshaver ø</w:t>
      </w:r>
      <w:r w:rsidR="0020098F">
        <w:t xml:space="preserve">nsker å få vurdert om </w:t>
      </w:r>
      <w:r>
        <w:t xml:space="preserve">tiltaket behøver konsesjon. </w:t>
      </w:r>
      <w:r w:rsidR="000970A7" w:rsidRPr="009973E2">
        <w:rPr>
          <w:highlight w:val="yellow"/>
        </w:rPr>
        <w:t>Vi anbefaler at meldeskjemaet utarbeides i samråd med en</w:t>
      </w:r>
      <w:r w:rsidR="008E0A53" w:rsidRPr="009973E2">
        <w:rPr>
          <w:highlight w:val="yellow"/>
        </w:rPr>
        <w:t xml:space="preserve"> person med kompetans</w:t>
      </w:r>
      <w:r w:rsidR="00A243F2" w:rsidRPr="009973E2">
        <w:rPr>
          <w:highlight w:val="yellow"/>
        </w:rPr>
        <w:t>e innen grunnvann</w:t>
      </w:r>
      <w:r w:rsidR="00A338A3">
        <w:rPr>
          <w:highlight w:val="yellow"/>
        </w:rPr>
        <w:t xml:space="preserve"> og </w:t>
      </w:r>
      <w:r w:rsidR="000B496E" w:rsidRPr="009973E2">
        <w:rPr>
          <w:highlight w:val="yellow"/>
        </w:rPr>
        <w:t>hydrogeologi</w:t>
      </w:r>
      <w:r w:rsidR="00A243F2" w:rsidRPr="009973E2">
        <w:rPr>
          <w:highlight w:val="yellow"/>
        </w:rPr>
        <w:t>.</w:t>
      </w:r>
      <w:r w:rsidR="007D7858">
        <w:t xml:space="preserve"> </w:t>
      </w:r>
    </w:p>
    <w:p w14:paraId="3907AF96" w14:textId="25BEC3CF" w:rsidR="00C06837" w:rsidRDefault="00C06837" w:rsidP="00C06837">
      <w:pPr>
        <w:pStyle w:val="Brdtekst"/>
      </w:pPr>
      <w:r>
        <w:t>Grunnvannsuttak over 100 m</w:t>
      </w:r>
      <w:r>
        <w:rPr>
          <w:vertAlign w:val="superscript"/>
        </w:rPr>
        <w:t>3</w:t>
      </w:r>
      <w:r>
        <w:t>/døgn</w:t>
      </w:r>
      <w:r w:rsidR="00607934">
        <w:t xml:space="preserve"> </w:t>
      </w:r>
      <w:r>
        <w:t xml:space="preserve">skal meldes </w:t>
      </w:r>
      <w:r w:rsidR="00607934">
        <w:t>til NVE, slik at vi kan vurdere om tiltaket er konsesjonspliktig.  Dette gjelder også for flere grunnvannsuttak fra samme grunnvannsforekomst som til sammen overstiger grensen på 100 m</w:t>
      </w:r>
      <w:r w:rsidR="00607934">
        <w:rPr>
          <w:vertAlign w:val="superscript"/>
        </w:rPr>
        <w:t>3</w:t>
      </w:r>
      <w:r w:rsidR="00607934">
        <w:t xml:space="preserve">/døgn. Meldeplikten gjelder uavhengig av </w:t>
      </w:r>
      <w:r w:rsidR="00A338A3">
        <w:t xml:space="preserve">hvordan </w:t>
      </w:r>
      <w:r w:rsidR="00607934">
        <w:t>grunnvannet tas ut</w:t>
      </w:r>
      <w:r w:rsidR="00680F39">
        <w:t>.</w:t>
      </w:r>
      <w:r w:rsidR="00A338A3">
        <w:t xml:space="preserve"> </w:t>
      </w:r>
    </w:p>
    <w:p w14:paraId="76E7DC8A" w14:textId="77777777" w:rsidR="00B3794D" w:rsidRDefault="006C37E5" w:rsidP="00680F39">
      <w:pPr>
        <w:pStyle w:val="Brdtekst"/>
        <w:rPr>
          <w:i/>
        </w:rPr>
      </w:pPr>
      <w:r w:rsidRPr="00680F39">
        <w:t xml:space="preserve">Tiltakshaver har ansvar for å informere NVE om </w:t>
      </w:r>
      <w:r w:rsidR="00680F39" w:rsidRPr="00680F39">
        <w:t>grunnvanns</w:t>
      </w:r>
      <w:r w:rsidRPr="00680F39">
        <w:t>tiltak som kan være konsesjonspliktige etter vannressursloven</w:t>
      </w:r>
      <w:r w:rsidR="00F15603" w:rsidRPr="00680F39">
        <w:t xml:space="preserve"> </w:t>
      </w:r>
      <w:r w:rsidRPr="00680F39">
        <w:t>§ 8</w:t>
      </w:r>
      <w:r w:rsidR="00680F39" w:rsidRPr="00680F39">
        <w:t xml:space="preserve">. </w:t>
      </w:r>
      <w:r w:rsidRPr="00680F39">
        <w:t>Dersom det ikke er opplagt at et tiltak må ha konsesjon, kan tiltakshaver be NVE avgjøre om tiltaket trenger konsesjon, jf.</w:t>
      </w:r>
      <w:r w:rsidR="00F15603" w:rsidRPr="00680F39">
        <w:t xml:space="preserve"> </w:t>
      </w:r>
      <w:r w:rsidR="00CD43CD" w:rsidRPr="00680F39">
        <w:t xml:space="preserve">vannressursloven </w:t>
      </w:r>
      <w:r w:rsidRPr="00680F39">
        <w:t xml:space="preserve">§ </w:t>
      </w:r>
      <w:r w:rsidR="00680F39" w:rsidRPr="00680F39">
        <w:t>45</w:t>
      </w:r>
      <w:r w:rsidR="00CD43CD" w:rsidRPr="00680F39">
        <w:t>, e</w:t>
      </w:r>
      <w:r w:rsidRPr="00680F39">
        <w:t xml:space="preserve">n såkalt konsesjonspliktvurdering. </w:t>
      </w:r>
      <w:r w:rsidR="002E76B8" w:rsidRPr="00680F39">
        <w:t xml:space="preserve">For mer informasjon </w:t>
      </w:r>
      <w:r w:rsidR="002E76B8" w:rsidRPr="00387B0A">
        <w:rPr>
          <w:i/>
        </w:rPr>
        <w:t xml:space="preserve">se </w:t>
      </w:r>
      <w:hyperlink r:id="rId8" w:history="1">
        <w:r w:rsidR="00D04D05" w:rsidRPr="00BB39E4">
          <w:rPr>
            <w:rStyle w:val="Hyperkobling"/>
            <w:i/>
          </w:rPr>
          <w:t>www.nve.no</w:t>
        </w:r>
      </w:hyperlink>
      <w:r w:rsidR="006763E6">
        <w:rPr>
          <w:i/>
        </w:rPr>
        <w:t>.</w:t>
      </w:r>
    </w:p>
    <w:p w14:paraId="38048C2D" w14:textId="017A0E50" w:rsidR="00D04D05" w:rsidRDefault="00D04D05" w:rsidP="00D04D05">
      <w:pPr>
        <w:pStyle w:val="Brdtekst"/>
      </w:pPr>
      <w:r>
        <w:t xml:space="preserve">Meldeskjemaet er beregnet for grunnvannsuttak fra løsmasser eller fjell der </w:t>
      </w:r>
      <w:r w:rsidR="0058582E">
        <w:t xml:space="preserve">brønner skal etableres og grunnvann </w:t>
      </w:r>
      <w:r>
        <w:t>pumpes opp</w:t>
      </w:r>
      <w:r w:rsidR="0058582E">
        <w:t xml:space="preserve">. </w:t>
      </w:r>
      <w:r>
        <w:t>For vannuttak fra kildebekk/oppkomme henviser vi til vårt meldeskjema for vannuttak</w:t>
      </w:r>
      <w:r w:rsidR="00DB0BC8">
        <w:t xml:space="preserve"> fra overflatevann</w:t>
      </w:r>
      <w:r>
        <w:t xml:space="preserve"> fordi</w:t>
      </w:r>
      <w:r w:rsidR="0050123E">
        <w:t xml:space="preserve"> slike tiltak vanligvis ikke</w:t>
      </w:r>
      <w:r>
        <w:t xml:space="preserve"> påvirke</w:t>
      </w:r>
      <w:r w:rsidR="0050123E">
        <w:t>r</w:t>
      </w:r>
      <w:r>
        <w:t xml:space="preserve"> grunnvannsmagasinet.</w:t>
      </w:r>
    </w:p>
    <w:p w14:paraId="21825F82" w14:textId="7FC9A3DC" w:rsidR="00807957" w:rsidRPr="00A243F2" w:rsidRDefault="00DF6F9D" w:rsidP="00D04D05">
      <w:pPr>
        <w:pStyle w:val="Brdtekst"/>
        <w:rPr>
          <w:color w:val="FF0000"/>
        </w:rPr>
      </w:pPr>
      <w:r>
        <w:t xml:space="preserve">For </w:t>
      </w:r>
      <w:r w:rsidR="00DB0BC8">
        <w:t>å ta ut</w:t>
      </w:r>
      <w:r w:rsidR="006A7196">
        <w:t xml:space="preserve"> </w:t>
      </w:r>
      <w:r>
        <w:t xml:space="preserve">grunnvann </w:t>
      </w:r>
      <w:r w:rsidR="00DB0BC8">
        <w:t>er det nødvendig å kartlegge potensia</w:t>
      </w:r>
      <w:r w:rsidR="006E6379">
        <w:t>let for grunnvann og hvilken på</w:t>
      </w:r>
      <w:r w:rsidR="00DB0BC8">
        <w:t>virkning et vannuttak kan få. For større uttak må det</w:t>
      </w:r>
      <w:r>
        <w:t xml:space="preserve"> utføres </w:t>
      </w:r>
      <w:r w:rsidR="00CA6C25">
        <w:t>hydrogeologiske forundersøkelser som feltbefaring, geofy</w:t>
      </w:r>
      <w:r w:rsidR="002277F3">
        <w:t xml:space="preserve">siske målinger, </w:t>
      </w:r>
      <w:proofErr w:type="spellStart"/>
      <w:r w:rsidR="002277F3">
        <w:t>sonderboringer</w:t>
      </w:r>
      <w:proofErr w:type="spellEnd"/>
      <w:r w:rsidR="002277F3">
        <w:t xml:space="preserve"> og </w:t>
      </w:r>
      <w:r w:rsidR="00DB0BC8">
        <w:t xml:space="preserve">etablering av </w:t>
      </w:r>
      <w:r w:rsidR="00CA6C25">
        <w:t>unde</w:t>
      </w:r>
      <w:r w:rsidR="002277F3">
        <w:t>rsøkelsesbrønner.</w:t>
      </w:r>
      <w:r w:rsidR="00CA6C25">
        <w:t xml:space="preserve"> </w:t>
      </w:r>
      <w:r w:rsidR="00807957">
        <w:t>For</w:t>
      </w:r>
      <w:r w:rsidR="00025815">
        <w:t xml:space="preserve"> å ivareta aktsomhetsplikten</w:t>
      </w:r>
      <w:r w:rsidR="00DB0BC8">
        <w:t xml:space="preserve"> ved </w:t>
      </w:r>
      <w:r w:rsidR="00025815">
        <w:t xml:space="preserve">grunnvannsuttak </w:t>
      </w:r>
      <w:r w:rsidR="00DB0BC8">
        <w:t>er det nødvendig</w:t>
      </w:r>
      <w:r w:rsidR="00025815">
        <w:t xml:space="preserve"> at det for </w:t>
      </w:r>
      <w:r w:rsidR="00DB0BC8">
        <w:t xml:space="preserve">større </w:t>
      </w:r>
      <w:r w:rsidR="00025815">
        <w:t>grunnvannsuttak i løsmasser</w:t>
      </w:r>
      <w:r w:rsidR="00807957">
        <w:t xml:space="preserve"> </w:t>
      </w:r>
      <w:r w:rsidR="002277F3">
        <w:t xml:space="preserve">i tillegg </w:t>
      </w:r>
      <w:r w:rsidR="00807957">
        <w:t xml:space="preserve">utføres grunnundersøkelser </w:t>
      </w:r>
      <w:r w:rsidR="008E0A53">
        <w:t>og prøvepumping.</w:t>
      </w:r>
      <w:r w:rsidR="00403677">
        <w:t xml:space="preserve"> </w:t>
      </w:r>
      <w:r w:rsidR="00290070">
        <w:t xml:space="preserve">For brønnboring i fjell anbefaler vi at berggrunnen kartlegges og nærliggende brønner registreres for å anslå vanngiverevne. </w:t>
      </w:r>
      <w:r w:rsidR="008E0A53">
        <w:t>For å kunne fasts</w:t>
      </w:r>
      <w:r w:rsidR="0058582E">
        <w:t>lå både kapasiteten til brønnen(e)</w:t>
      </w:r>
      <w:r w:rsidR="008E0A53">
        <w:t xml:space="preserve"> og hvordan grunnvan</w:t>
      </w:r>
      <w:r w:rsidR="00A243F2">
        <w:t xml:space="preserve">nsmagasinet påvirkes </w:t>
      </w:r>
      <w:r w:rsidR="00DB0BC8">
        <w:t xml:space="preserve">må </w:t>
      </w:r>
      <w:r w:rsidR="0065116D">
        <w:t xml:space="preserve">det </w:t>
      </w:r>
      <w:r w:rsidR="0058582E">
        <w:t xml:space="preserve">utføres </w:t>
      </w:r>
      <w:r>
        <w:t xml:space="preserve">en kort </w:t>
      </w:r>
      <w:r w:rsidR="0058582E">
        <w:t>testpumping og</w:t>
      </w:r>
      <w:r w:rsidR="00A243F2">
        <w:t xml:space="preserve"> </w:t>
      </w:r>
      <w:r w:rsidR="008E0A53">
        <w:t xml:space="preserve">prøvepumpes </w:t>
      </w:r>
      <w:r w:rsidR="0076668A">
        <w:t xml:space="preserve">sammenhengende </w:t>
      </w:r>
      <w:r w:rsidR="008E0A53">
        <w:t xml:space="preserve">over en periode på </w:t>
      </w:r>
      <w:r w:rsidR="00DB0BC8">
        <w:t xml:space="preserve">minimum </w:t>
      </w:r>
      <w:r w:rsidR="0076668A" w:rsidRPr="006A7196">
        <w:t>tre</w:t>
      </w:r>
      <w:r w:rsidR="008E0A53" w:rsidRPr="006A7196">
        <w:t xml:space="preserve"> måneder</w:t>
      </w:r>
      <w:r w:rsidR="00DB0BC8" w:rsidRPr="006A7196">
        <w:t>, helst gjennom et helt år</w:t>
      </w:r>
      <w:r w:rsidR="00A243F2" w:rsidRPr="006A7196">
        <w:t xml:space="preserve">. </w:t>
      </w:r>
      <w:r w:rsidR="0076668A">
        <w:t xml:space="preserve">Perioden med </w:t>
      </w:r>
      <w:r>
        <w:t>langtids</w:t>
      </w:r>
      <w:r w:rsidR="0076668A">
        <w:t xml:space="preserve">prøvepumping </w:t>
      </w:r>
      <w:r w:rsidR="00DB0BC8">
        <w:t xml:space="preserve">må </w:t>
      </w:r>
      <w:r w:rsidR="0076668A">
        <w:t xml:space="preserve">inneholde en </w:t>
      </w:r>
      <w:r w:rsidR="00DB0BC8">
        <w:t>tørr periode uten snøsmelting</w:t>
      </w:r>
      <w:r w:rsidR="0076668A">
        <w:t xml:space="preserve">. </w:t>
      </w:r>
    </w:p>
    <w:p w14:paraId="2196CACE" w14:textId="4C0671E7" w:rsidR="00DD5183" w:rsidRPr="00387B0A" w:rsidRDefault="006C37E5" w:rsidP="00B14C5E">
      <w:pPr>
        <w:pStyle w:val="Overskrift3"/>
      </w:pPr>
      <w:r w:rsidRPr="00387B0A">
        <w:t xml:space="preserve">Saksgang </w:t>
      </w:r>
      <w:r w:rsidR="00590260" w:rsidRPr="00387B0A">
        <w:br/>
      </w:r>
      <w:r w:rsidRPr="00387B0A">
        <w:rPr>
          <w:rStyle w:val="BrdtekstTegn"/>
          <w:i w:val="0"/>
        </w:rPr>
        <w:t xml:space="preserve">Melding om konsesjonspliktvurdering sendes inn </w:t>
      </w:r>
      <w:r w:rsidR="00C82EA0" w:rsidRPr="00387B0A">
        <w:rPr>
          <w:rStyle w:val="BrdtekstTegn"/>
          <w:i w:val="0"/>
        </w:rPr>
        <w:t>til NVE</w:t>
      </w:r>
      <w:r w:rsidR="00473394">
        <w:rPr>
          <w:rStyle w:val="BrdtekstTegn"/>
          <w:i w:val="0"/>
        </w:rPr>
        <w:t xml:space="preserve">, </w:t>
      </w:r>
      <w:r w:rsidR="006763E6" w:rsidRPr="004D64BF">
        <w:rPr>
          <w:rStyle w:val="BrdtekstTegn"/>
          <w:i w:val="0"/>
          <w:highlight w:val="yellow"/>
        </w:rPr>
        <w:t>helst el</w:t>
      </w:r>
      <w:r w:rsidR="00FE6BEA">
        <w:rPr>
          <w:rStyle w:val="BrdtekstTegn"/>
          <w:i w:val="0"/>
          <w:highlight w:val="yellow"/>
        </w:rPr>
        <w:t xml:space="preserve">ektronisk via </w:t>
      </w:r>
      <w:proofErr w:type="spellStart"/>
      <w:r w:rsidR="00FE6BEA">
        <w:rPr>
          <w:rStyle w:val="BrdtekstTegn"/>
          <w:i w:val="0"/>
          <w:highlight w:val="yellow"/>
        </w:rPr>
        <w:t>A</w:t>
      </w:r>
      <w:r w:rsidR="006763E6" w:rsidRPr="004D64BF">
        <w:rPr>
          <w:rStyle w:val="BrdtekstTegn"/>
          <w:i w:val="0"/>
          <w:highlight w:val="yellow"/>
        </w:rPr>
        <w:t>ltinn</w:t>
      </w:r>
      <w:proofErr w:type="spellEnd"/>
      <w:r w:rsidR="006763E6" w:rsidRPr="004D64BF">
        <w:rPr>
          <w:rStyle w:val="BrdtekstTegn"/>
          <w:i w:val="0"/>
          <w:highlight w:val="yellow"/>
        </w:rPr>
        <w:t xml:space="preserve"> eller </w:t>
      </w:r>
      <w:proofErr w:type="spellStart"/>
      <w:r w:rsidR="006763E6" w:rsidRPr="004D64BF">
        <w:rPr>
          <w:rStyle w:val="BrdtekstTegn"/>
          <w:i w:val="0"/>
          <w:highlight w:val="yellow"/>
        </w:rPr>
        <w:t>MinID</w:t>
      </w:r>
      <w:proofErr w:type="spellEnd"/>
      <w:r w:rsidR="006763E6">
        <w:rPr>
          <w:rStyle w:val="BrdtekstTegn"/>
          <w:i w:val="0"/>
        </w:rPr>
        <w:t xml:space="preserve">, men kan også sendes </w:t>
      </w:r>
      <w:r w:rsidR="00473394">
        <w:rPr>
          <w:rStyle w:val="BrdtekstTegn"/>
          <w:i w:val="0"/>
        </w:rPr>
        <w:t>på e-post</w:t>
      </w:r>
      <w:r w:rsidR="00CD43CD" w:rsidRPr="00387B0A">
        <w:rPr>
          <w:rStyle w:val="BrdtekstTegn"/>
          <w:i w:val="0"/>
        </w:rPr>
        <w:t xml:space="preserve"> eller med vanlig post</w:t>
      </w:r>
      <w:r w:rsidR="006763E6">
        <w:rPr>
          <w:rStyle w:val="BrdtekstTegn"/>
          <w:i w:val="0"/>
        </w:rPr>
        <w:t>. D</w:t>
      </w:r>
      <w:r w:rsidRPr="00387B0A">
        <w:rPr>
          <w:rStyle w:val="BrdtekstTegn"/>
          <w:i w:val="0"/>
        </w:rPr>
        <w:t>et foretas en kvalitetssikring hos NVE før meldingen tas til behandling. Meldingen vil bli sendt på en begrenset høring til kommune, fylkeskommune</w:t>
      </w:r>
      <w:r w:rsidR="00CD43CD" w:rsidRPr="00387B0A">
        <w:rPr>
          <w:rStyle w:val="BrdtekstTegn"/>
          <w:i w:val="0"/>
        </w:rPr>
        <w:t>,</w:t>
      </w:r>
      <w:r w:rsidR="008F7BF7" w:rsidRPr="00387B0A">
        <w:rPr>
          <w:rStyle w:val="BrdtekstTegn"/>
          <w:i w:val="0"/>
        </w:rPr>
        <w:t xml:space="preserve"> </w:t>
      </w:r>
      <w:r w:rsidRPr="00387B0A">
        <w:rPr>
          <w:rStyle w:val="BrdtekstTegn"/>
          <w:i w:val="0"/>
        </w:rPr>
        <w:t>Fylkesmann</w:t>
      </w:r>
      <w:r w:rsidR="00CD43CD" w:rsidRPr="00387B0A">
        <w:rPr>
          <w:rStyle w:val="BrdtekstTegn"/>
          <w:i w:val="0"/>
        </w:rPr>
        <w:t xml:space="preserve"> og ev. andre berørte parter</w:t>
      </w:r>
      <w:r w:rsidRPr="00387B0A">
        <w:rPr>
          <w:rStyle w:val="BrdtekstTegn"/>
          <w:i w:val="0"/>
        </w:rPr>
        <w:t xml:space="preserve">. Det avklares også om det er behov for en befaring av tiltaksområdet. NVE fatter </w:t>
      </w:r>
      <w:r w:rsidR="00CD43CD" w:rsidRPr="00387B0A">
        <w:rPr>
          <w:rStyle w:val="BrdtekstTegn"/>
          <w:i w:val="0"/>
        </w:rPr>
        <w:t xml:space="preserve">deretter </w:t>
      </w:r>
      <w:r w:rsidRPr="00387B0A">
        <w:rPr>
          <w:rStyle w:val="BrdtekstTegn"/>
          <w:i w:val="0"/>
        </w:rPr>
        <w:t>et</w:t>
      </w:r>
      <w:r w:rsidR="00C82EA0" w:rsidRPr="00387B0A">
        <w:rPr>
          <w:rStyle w:val="BrdtekstTegn"/>
          <w:i w:val="0"/>
        </w:rPr>
        <w:t xml:space="preserve"> vedtak i saken. </w:t>
      </w:r>
    </w:p>
    <w:p w14:paraId="30EF0CBD" w14:textId="77777777" w:rsidR="00590260" w:rsidRPr="00387B0A" w:rsidRDefault="006C37E5" w:rsidP="00590260">
      <w:pPr>
        <w:pStyle w:val="Overskrift1"/>
      </w:pPr>
      <w:r w:rsidRPr="00387B0A">
        <w:t xml:space="preserve">Konsesjonspliktige tiltak </w:t>
      </w:r>
    </w:p>
    <w:p w14:paraId="5DC88893" w14:textId="77777777" w:rsidR="006763E6" w:rsidRDefault="004D5659">
      <w:pPr>
        <w:pStyle w:val="Overskrift2"/>
      </w:pPr>
      <w:r w:rsidRPr="00387B0A">
        <w:t>Hvis du kan svare ja på et eller flere av</w:t>
      </w:r>
      <w:r w:rsidR="004A23DC" w:rsidRPr="00387B0A">
        <w:t xml:space="preserve"> </w:t>
      </w:r>
      <w:r w:rsidRPr="00387B0A">
        <w:t xml:space="preserve">spørsmålene nedenfor er det svært sannsynlig at tiltaket har et omfang som krever full konsesjonsbehandling. </w:t>
      </w:r>
      <w:r w:rsidR="006763E6" w:rsidRPr="00387B0A">
        <w:t xml:space="preserve">Dersom et tiltak </w:t>
      </w:r>
      <w:r w:rsidR="006763E6">
        <w:t>kan</w:t>
      </w:r>
      <w:r w:rsidR="006763E6" w:rsidRPr="00387B0A">
        <w:t xml:space="preserve"> være til nevneverdig skade eller ulempe for allmenne interesser, må tiltakshaver søke konsesjon etter vannressursloven. </w:t>
      </w:r>
      <w:r w:rsidRPr="00473617">
        <w:t>For</w:t>
      </w:r>
      <w:r w:rsidRPr="00387B0A">
        <w:t xml:space="preserve"> at du skal få en mest mulig rasjonell saksbehandling, anbefaler NVE </w:t>
      </w:r>
      <w:r w:rsidR="006763E6">
        <w:t xml:space="preserve">da </w:t>
      </w:r>
      <w:r w:rsidRPr="00387B0A">
        <w:t xml:space="preserve">at du går direkte i </w:t>
      </w:r>
      <w:r w:rsidRPr="00387B0A">
        <w:lastRenderedPageBreak/>
        <w:t xml:space="preserve">gang med konsesjonssøknad. Nærmere informasjon om utforming og behandling av søknader finnes på NVEs </w:t>
      </w:r>
      <w:r w:rsidRPr="004D64BF">
        <w:rPr>
          <w:highlight w:val="yellow"/>
        </w:rPr>
        <w:t>nettsider</w:t>
      </w:r>
      <w:r w:rsidR="0015608D" w:rsidRPr="004D64BF">
        <w:rPr>
          <w:highlight w:val="yellow"/>
        </w:rPr>
        <w:t xml:space="preserve"> </w:t>
      </w:r>
      <w:r w:rsidR="006763E6" w:rsidRPr="004D64BF">
        <w:rPr>
          <w:highlight w:val="yellow"/>
        </w:rPr>
        <w:t>www.nve.no,</w:t>
      </w:r>
      <w:r w:rsidRPr="004D64BF">
        <w:rPr>
          <w:highlight w:val="yellow"/>
        </w:rPr>
        <w:t xml:space="preserve"> </w:t>
      </w:r>
      <w:r w:rsidR="00B65102" w:rsidRPr="004D64BF">
        <w:rPr>
          <w:highlight w:val="yellow"/>
        </w:rPr>
        <w:t>eller</w:t>
      </w:r>
      <w:r w:rsidR="00B65102" w:rsidRPr="00387B0A">
        <w:t xml:space="preserve"> </w:t>
      </w:r>
      <w:r w:rsidR="00B9509E">
        <w:t>du kan kontakte</w:t>
      </w:r>
      <w:r w:rsidR="00B65102">
        <w:t xml:space="preserve"> </w:t>
      </w:r>
      <w:r w:rsidR="00B65102" w:rsidRPr="00387B0A">
        <w:t>NVE</w:t>
      </w:r>
      <w:r w:rsidR="00B65102">
        <w:t>, s</w:t>
      </w:r>
      <w:r w:rsidR="006763E6">
        <w:t>eksjon for vassdragsinngrep</w:t>
      </w:r>
      <w:r w:rsidR="00B65102" w:rsidRPr="00387B0A">
        <w:t xml:space="preserve">. </w:t>
      </w:r>
      <w:r w:rsidR="0015461A">
        <w:t xml:space="preserve">For grunnvannsuttak over 100 </w:t>
      </w:r>
      <w:r w:rsidR="0015461A" w:rsidRPr="00473617">
        <w:t>m</w:t>
      </w:r>
      <w:r w:rsidR="0015461A" w:rsidRPr="00473617">
        <w:rPr>
          <w:vertAlign w:val="superscript"/>
        </w:rPr>
        <w:t>3</w:t>
      </w:r>
      <w:r w:rsidR="0015461A">
        <w:t>/døgn som åpenbart behøver konsesjon vil konsesjonssøknaden ivareta meldeplikten.</w:t>
      </w:r>
    </w:p>
    <w:p w14:paraId="712C480A" w14:textId="77777777" w:rsidR="00A564E5" w:rsidRPr="00387B0A" w:rsidRDefault="00CD43CD">
      <w:pPr>
        <w:pStyle w:val="Overskrift2"/>
      </w:pPr>
      <w:r w:rsidRPr="00387B0A">
        <w:rPr>
          <w:i/>
        </w:rPr>
        <w:t xml:space="preserve">De privatrettslige </w:t>
      </w:r>
      <w:r w:rsidR="007D1665" w:rsidRPr="00387B0A">
        <w:rPr>
          <w:i/>
        </w:rPr>
        <w:t>forholdene</w:t>
      </w:r>
      <w:r w:rsidRPr="00387B0A">
        <w:rPr>
          <w:i/>
        </w:rPr>
        <w:t xml:space="preserve"> reguleres ikke av vannressursloven, og tiltakshaver </w:t>
      </w:r>
      <w:r w:rsidR="004D1D83" w:rsidRPr="00387B0A">
        <w:rPr>
          <w:i/>
        </w:rPr>
        <w:t xml:space="preserve">bør </w:t>
      </w:r>
      <w:r w:rsidRPr="00387B0A">
        <w:rPr>
          <w:i/>
        </w:rPr>
        <w:t xml:space="preserve">ha skaffet seg de nødvendige rettigheter for gjennomføring av tiltaket før det søkes om tillatelse etter vannressursloven. </w:t>
      </w:r>
      <w:r w:rsidR="0024368F">
        <w:rPr>
          <w:i/>
        </w:rPr>
        <w:t xml:space="preserve"> Hvordan ev. nærliggende </w:t>
      </w:r>
      <w:r w:rsidR="00DB0BC8">
        <w:rPr>
          <w:i/>
        </w:rPr>
        <w:t xml:space="preserve">private </w:t>
      </w:r>
      <w:r w:rsidR="0024368F">
        <w:rPr>
          <w:i/>
        </w:rPr>
        <w:t>brønner påvirkes er også privatrettslig.</w:t>
      </w:r>
    </w:p>
    <w:p w14:paraId="4AD4A344" w14:textId="77777777" w:rsidR="007300F8" w:rsidRPr="00387B0A" w:rsidRDefault="007300F8" w:rsidP="008346AF">
      <w:pPr>
        <w:pStyle w:val="Overskrift1"/>
      </w:pPr>
      <w:r w:rsidRPr="00387B0A">
        <w:t xml:space="preserve">Kontrollspørsmål </w:t>
      </w:r>
    </w:p>
    <w:p w14:paraId="5A883674" w14:textId="77777777" w:rsidR="0065116D" w:rsidRDefault="00721B0A" w:rsidP="00EA3A67">
      <w:pPr>
        <w:pStyle w:val="NVEpunktmerket"/>
      </w:pPr>
      <w:r>
        <w:t xml:space="preserve">Vil uttaket av grunnvann </w:t>
      </w:r>
      <w:r w:rsidR="0065116D">
        <w:t>kunne</w:t>
      </w:r>
      <w:r w:rsidR="002277F3">
        <w:t>:</w:t>
      </w:r>
      <w:r w:rsidR="0065116D">
        <w:t xml:space="preserve"> </w:t>
      </w:r>
    </w:p>
    <w:p w14:paraId="369DD64F" w14:textId="1516A05F" w:rsidR="00721B0A" w:rsidRDefault="00DB0BC8" w:rsidP="002277F3">
      <w:pPr>
        <w:pStyle w:val="NVEpunktmerket"/>
        <w:numPr>
          <w:ilvl w:val="0"/>
          <w:numId w:val="11"/>
        </w:numPr>
      </w:pPr>
      <w:r>
        <w:t>Gi</w:t>
      </w:r>
      <w:r w:rsidR="00721B0A">
        <w:t xml:space="preserve"> varig senkning av </w:t>
      </w:r>
      <w:r w:rsidR="00486A0D">
        <w:t>grunnvannsspeilet</w:t>
      </w:r>
      <w:r w:rsidR="00721B0A">
        <w:t>?</w:t>
      </w:r>
    </w:p>
    <w:p w14:paraId="60336A31" w14:textId="77777777" w:rsidR="00486A0D" w:rsidRDefault="00486A0D" w:rsidP="002277F3">
      <w:pPr>
        <w:pStyle w:val="NVEpunktmerket"/>
        <w:numPr>
          <w:ilvl w:val="0"/>
          <w:numId w:val="11"/>
        </w:numPr>
      </w:pPr>
      <w:r>
        <w:t>Føre til saltvannsinntrengning til grunnvannet?</w:t>
      </w:r>
    </w:p>
    <w:p w14:paraId="2F7DBD4F" w14:textId="16D7B465" w:rsidR="00EA3A67" w:rsidRPr="00387B0A" w:rsidRDefault="00631E81" w:rsidP="002277F3">
      <w:pPr>
        <w:pStyle w:val="NVEpunktmerket"/>
        <w:numPr>
          <w:ilvl w:val="0"/>
          <w:numId w:val="11"/>
        </w:numPr>
      </w:pPr>
      <w:r>
        <w:t>Påvirke</w:t>
      </w:r>
      <w:r w:rsidR="00EA3A67" w:rsidRPr="00387B0A">
        <w:t xml:space="preserve"> vann</w:t>
      </w:r>
      <w:r w:rsidR="00FE7198">
        <w:t>stand</w:t>
      </w:r>
      <w:r w:rsidR="004A3D8F">
        <w:t xml:space="preserve"> i </w:t>
      </w:r>
      <w:r w:rsidR="00FE7198">
        <w:t xml:space="preserve">nærliggende </w:t>
      </w:r>
      <w:r w:rsidR="004A3D8F">
        <w:t>innsjø/tjern</w:t>
      </w:r>
      <w:r w:rsidR="00EA3A67" w:rsidRPr="00387B0A">
        <w:t>?</w:t>
      </w:r>
    </w:p>
    <w:p w14:paraId="05D43B92" w14:textId="77777777" w:rsidR="007300F8" w:rsidRPr="00387B0A" w:rsidRDefault="00631E81" w:rsidP="002277F3">
      <w:pPr>
        <w:pStyle w:val="NVEpunktmerket"/>
        <w:numPr>
          <w:ilvl w:val="0"/>
          <w:numId w:val="11"/>
        </w:numPr>
      </w:pPr>
      <w:r>
        <w:t>Påvirke</w:t>
      </w:r>
      <w:r w:rsidR="00FE7198">
        <w:t xml:space="preserve"> vannføringen i </w:t>
      </w:r>
      <w:r w:rsidR="0065116D">
        <w:t>elver og bekker med årssikker vannføring, spesielt</w:t>
      </w:r>
      <w:r w:rsidR="00D677E2">
        <w:t xml:space="preserve"> i tørre perioder av året</w:t>
      </w:r>
      <w:r w:rsidR="00FE7198">
        <w:t xml:space="preserve">? </w:t>
      </w:r>
    </w:p>
    <w:p w14:paraId="39FE0889" w14:textId="2013134A" w:rsidR="00EA3A67" w:rsidRPr="00387B0A" w:rsidRDefault="00631E81" w:rsidP="002277F3">
      <w:pPr>
        <w:pStyle w:val="NVEpunktmerket"/>
        <w:numPr>
          <w:ilvl w:val="0"/>
          <w:numId w:val="11"/>
        </w:numPr>
      </w:pPr>
      <w:r>
        <w:t>Berører</w:t>
      </w:r>
      <w:r w:rsidR="002A1648" w:rsidRPr="00387B0A">
        <w:t xml:space="preserve"> tiltaket </w:t>
      </w:r>
      <w:r w:rsidR="00EA3A67" w:rsidRPr="00387B0A">
        <w:t xml:space="preserve">allmenne interesser i </w:t>
      </w:r>
      <w:r w:rsidR="00486A0D">
        <w:t>nevneverdig</w:t>
      </w:r>
      <w:r w:rsidR="00486A0D" w:rsidRPr="00387B0A">
        <w:t xml:space="preserve"> </w:t>
      </w:r>
      <w:r w:rsidR="00EA3A67" w:rsidRPr="00387B0A">
        <w:t>grad?</w:t>
      </w:r>
    </w:p>
    <w:p w14:paraId="619A47F5" w14:textId="77777777" w:rsidR="00660159" w:rsidRPr="00FB0F6B" w:rsidRDefault="004D154A" w:rsidP="00FB0F6B">
      <w:pPr>
        <w:pStyle w:val="Overskrift1"/>
        <w:rPr>
          <w:sz w:val="36"/>
          <w:szCs w:val="36"/>
        </w:rPr>
      </w:pPr>
      <w:r w:rsidRPr="00FB0F6B">
        <w:rPr>
          <w:sz w:val="36"/>
          <w:szCs w:val="36"/>
        </w:rPr>
        <w:t xml:space="preserve">Melding </w:t>
      </w:r>
      <w:r w:rsidR="00660159" w:rsidRPr="00FB0F6B">
        <w:rPr>
          <w:sz w:val="36"/>
          <w:szCs w:val="36"/>
        </w:rPr>
        <w:t xml:space="preserve">om </w:t>
      </w:r>
      <w:r w:rsidR="00ED4CBB" w:rsidRPr="00FB0F6B">
        <w:rPr>
          <w:sz w:val="36"/>
          <w:szCs w:val="36"/>
        </w:rPr>
        <w:t>(tiltakets art</w:t>
      </w:r>
      <w:proofErr w:type="gramStart"/>
      <w:r w:rsidR="00ED4CBB" w:rsidRPr="00FB0F6B">
        <w:rPr>
          <w:sz w:val="36"/>
          <w:szCs w:val="36"/>
        </w:rPr>
        <w:t>)</w:t>
      </w:r>
      <w:r w:rsidR="00660159" w:rsidRPr="00FB0F6B">
        <w:rPr>
          <w:sz w:val="36"/>
          <w:szCs w:val="36"/>
        </w:rPr>
        <w:t>…</w:t>
      </w:r>
      <w:proofErr w:type="gramEnd"/>
      <w:r w:rsidR="00660159" w:rsidRPr="00FB0F6B">
        <w:rPr>
          <w:sz w:val="36"/>
          <w:szCs w:val="36"/>
        </w:rPr>
        <w:t>…………………..</w:t>
      </w:r>
      <w:r w:rsidR="00FE7198">
        <w:rPr>
          <w:sz w:val="36"/>
          <w:szCs w:val="36"/>
        </w:rPr>
        <w:t>på</w:t>
      </w:r>
      <w:r w:rsidR="006F2E81">
        <w:rPr>
          <w:sz w:val="36"/>
          <w:szCs w:val="36"/>
        </w:rPr>
        <w:t>/ved/i</w:t>
      </w:r>
      <w:r w:rsidR="00ED4CBB" w:rsidRPr="00FB0F6B">
        <w:rPr>
          <w:sz w:val="36"/>
          <w:szCs w:val="36"/>
        </w:rPr>
        <w:t xml:space="preserve"> (</w:t>
      </w:r>
      <w:r w:rsidR="00FE7198">
        <w:rPr>
          <w:sz w:val="36"/>
          <w:szCs w:val="36"/>
        </w:rPr>
        <w:t>stedsnavn</w:t>
      </w:r>
      <w:r w:rsidR="00ED4CBB" w:rsidRPr="00FB0F6B">
        <w:rPr>
          <w:sz w:val="36"/>
          <w:szCs w:val="36"/>
        </w:rPr>
        <w:t>), xxx kommune</w:t>
      </w:r>
      <w:r w:rsidR="004D5659">
        <w:rPr>
          <w:sz w:val="36"/>
          <w:szCs w:val="36"/>
        </w:rPr>
        <w:t xml:space="preserve"> i</w:t>
      </w:r>
      <w:r w:rsidR="003A5D8D">
        <w:rPr>
          <w:sz w:val="36"/>
          <w:szCs w:val="36"/>
        </w:rPr>
        <w:t xml:space="preserve"> </w:t>
      </w:r>
      <w:r w:rsidR="00ED4CBB" w:rsidRPr="00FB0F6B">
        <w:rPr>
          <w:sz w:val="36"/>
          <w:szCs w:val="36"/>
        </w:rPr>
        <w:t>xxx fylke</w:t>
      </w:r>
    </w:p>
    <w:p w14:paraId="76C77A30" w14:textId="77777777" w:rsidR="004D64BF" w:rsidRPr="003B0F16" w:rsidRDefault="004D64BF" w:rsidP="004D64BF">
      <w:pPr>
        <w:pStyle w:val="Brdtekst"/>
        <w:rPr>
          <w:b/>
          <w:u w:val="single"/>
        </w:rPr>
      </w:pPr>
      <w:r w:rsidRPr="003B0F16">
        <w:rPr>
          <w:b/>
          <w:u w:val="single"/>
        </w:rPr>
        <w:t>[</w:t>
      </w:r>
      <w:r>
        <w:rPr>
          <w:b/>
          <w:u w:val="single"/>
        </w:rPr>
        <w:t xml:space="preserve">NB! </w:t>
      </w:r>
      <w:r w:rsidRPr="003B0F16">
        <w:rPr>
          <w:b/>
        </w:rPr>
        <w:t xml:space="preserve">Erstatt teksten i klammer med informasjonen som </w:t>
      </w:r>
      <w:r>
        <w:rPr>
          <w:b/>
        </w:rPr>
        <w:t>er etterspurt</w:t>
      </w:r>
      <w:r w:rsidRPr="003B0F16">
        <w:rPr>
          <w:b/>
        </w:rPr>
        <w:t xml:space="preserve">. Tekst i klammer skal slettes før meldeskjemaet sendes inn. </w:t>
      </w:r>
      <w:r>
        <w:rPr>
          <w:b/>
        </w:rPr>
        <w:t xml:space="preserve">Slett overskrifter </w:t>
      </w:r>
      <w:r w:rsidR="00486A0D">
        <w:rPr>
          <w:b/>
        </w:rPr>
        <w:t xml:space="preserve">og avsnitt </w:t>
      </w:r>
      <w:r>
        <w:rPr>
          <w:b/>
        </w:rPr>
        <w:t>som ikke er relevante for tiltaket.</w:t>
      </w:r>
      <w:r w:rsidR="00486A0D">
        <w:rPr>
          <w:b/>
        </w:rPr>
        <w:t xml:space="preserve"> </w:t>
      </w:r>
      <w:r w:rsidRPr="003B0F16">
        <w:rPr>
          <w:b/>
        </w:rPr>
        <w:t>]</w:t>
      </w:r>
    </w:p>
    <w:p w14:paraId="5DA76AC3" w14:textId="7D2381D4" w:rsidR="00ED4CBB" w:rsidRPr="00631E81" w:rsidRDefault="004D64BF" w:rsidP="00ED4CBB">
      <w:pPr>
        <w:pStyle w:val="Brdtekst"/>
      </w:pPr>
      <w:r w:rsidRPr="007F6F6B">
        <w:t xml:space="preserve"> </w:t>
      </w:r>
      <w:r w:rsidR="007F6F6B" w:rsidRPr="007F6F6B">
        <w:t>[</w:t>
      </w:r>
      <w:r w:rsidR="00ED4CBB" w:rsidRPr="007F6F6B">
        <w:t xml:space="preserve">Redegjør kort for den geografiske plasseringen av </w:t>
      </w:r>
      <w:r w:rsidR="00FE7198">
        <w:t>grunnvanns</w:t>
      </w:r>
      <w:r w:rsidR="00ED4CBB" w:rsidRPr="007F6F6B">
        <w:t>tiltaket</w:t>
      </w:r>
      <w:r w:rsidR="007D7858">
        <w:t xml:space="preserve"> og opplys bl.a. om kommune og</w:t>
      </w:r>
      <w:r w:rsidR="00ED4CBB" w:rsidRPr="007F6F6B">
        <w:t xml:space="preserve"> fylke</w:t>
      </w:r>
      <w:r w:rsidR="007D7858">
        <w:t>.</w:t>
      </w:r>
      <w:r w:rsidR="005F30CF" w:rsidRPr="00FE7198">
        <w:rPr>
          <w:color w:val="FF0000"/>
        </w:rPr>
        <w:t xml:space="preserve"> </w:t>
      </w:r>
      <w:r w:rsidR="00ED4CBB" w:rsidRPr="007F6F6B">
        <w:t xml:space="preserve">Kart over området </w:t>
      </w:r>
      <w:r w:rsidR="00486A0D">
        <w:t>med tiltaket tegnet inn legges ved</w:t>
      </w:r>
      <w:r w:rsidR="00486A0D" w:rsidRPr="007F6F6B">
        <w:t xml:space="preserve"> </w:t>
      </w:r>
      <w:r w:rsidR="00ED4CBB" w:rsidRPr="007F6F6B">
        <w:t>(oversiktskart 1:50 000 og</w:t>
      </w:r>
      <w:r w:rsidR="00DD5183" w:rsidRPr="007F6F6B">
        <w:t xml:space="preserve"> </w:t>
      </w:r>
      <w:r w:rsidR="0032244D" w:rsidRPr="007F6F6B">
        <w:t>et detaljert kart</w:t>
      </w:r>
      <w:r w:rsidR="00ED4CBB" w:rsidRPr="007F6F6B">
        <w:t xml:space="preserve"> 1:5000</w:t>
      </w:r>
      <w:r w:rsidR="00ED4CBB" w:rsidRPr="00631E81">
        <w:t>)</w:t>
      </w:r>
      <w:r w:rsidR="004D1D83" w:rsidRPr="00631E81">
        <w:t>.</w:t>
      </w:r>
      <w:r w:rsidR="00631E81" w:rsidRPr="00631E81">
        <w:t>]</w:t>
      </w:r>
      <w:r w:rsidR="007211AE" w:rsidRPr="00631E81">
        <w:t xml:space="preserve"> </w:t>
      </w:r>
    </w:p>
    <w:p w14:paraId="7AB7A742" w14:textId="77777777" w:rsidR="00EA3A67" w:rsidRPr="007300F8" w:rsidRDefault="00AC22F5" w:rsidP="00AC22F5">
      <w:pPr>
        <w:pStyle w:val="Overskrift1"/>
      </w:pPr>
      <w:r>
        <w:t>Opplysninger</w:t>
      </w:r>
      <w:r w:rsidR="00B3794D">
        <w:t xml:space="preserve"> om melder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7"/>
        <w:gridCol w:w="6275"/>
      </w:tblGrid>
      <w:tr w:rsidR="001705B0" w:rsidRPr="004D64BF" w14:paraId="60C55486" w14:textId="77777777" w:rsidTr="00F065D4">
        <w:tc>
          <w:tcPr>
            <w:tcW w:w="9202" w:type="dxa"/>
            <w:gridSpan w:val="2"/>
            <w:tcBorders>
              <w:bottom w:val="nil"/>
            </w:tcBorders>
          </w:tcPr>
          <w:p w14:paraId="729888CF" w14:textId="77777777" w:rsidR="001705B0" w:rsidRPr="004D64BF" w:rsidRDefault="002654C8" w:rsidP="004D5659">
            <w:pPr>
              <w:pStyle w:val="Brdtekst"/>
              <w:rPr>
                <w:b/>
              </w:rPr>
            </w:pPr>
            <w:r w:rsidRPr="004D64BF">
              <w:rPr>
                <w:b/>
              </w:rPr>
              <w:t>T</w:t>
            </w:r>
            <w:r w:rsidR="004D64BF">
              <w:rPr>
                <w:b/>
              </w:rPr>
              <w:t>iltakshaver</w:t>
            </w:r>
          </w:p>
        </w:tc>
      </w:tr>
      <w:tr w:rsidR="00D626E3" w14:paraId="322709EB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0D48851B" w14:textId="77777777" w:rsidR="00D626E3" w:rsidRDefault="00D626E3" w:rsidP="00026A19">
            <w:pPr>
              <w:pStyle w:val="Brdtekst"/>
            </w:pPr>
            <w:r>
              <w:t>Navn:</w:t>
            </w:r>
          </w:p>
        </w:tc>
      </w:tr>
      <w:tr w:rsidR="00AA0E14" w14:paraId="039C127D" w14:textId="77777777" w:rsidTr="00F065D4">
        <w:tc>
          <w:tcPr>
            <w:tcW w:w="9202" w:type="dxa"/>
            <w:gridSpan w:val="2"/>
            <w:tcBorders>
              <w:top w:val="nil"/>
            </w:tcBorders>
          </w:tcPr>
          <w:p w14:paraId="1EB43D30" w14:textId="77777777" w:rsidR="00AA0E14" w:rsidRDefault="00AA0E14" w:rsidP="00026A19">
            <w:pPr>
              <w:pStyle w:val="Brdtekst"/>
            </w:pPr>
            <w:r>
              <w:t>Adresse</w:t>
            </w:r>
            <w:r w:rsidR="004D64BF">
              <w:t>:</w:t>
            </w:r>
          </w:p>
        </w:tc>
      </w:tr>
      <w:tr w:rsidR="00AA0E14" w14:paraId="0C256D8B" w14:textId="77777777" w:rsidTr="00F065D4">
        <w:tc>
          <w:tcPr>
            <w:tcW w:w="2927" w:type="dxa"/>
          </w:tcPr>
          <w:p w14:paraId="157DF3CB" w14:textId="77777777" w:rsidR="00AA0E14" w:rsidRDefault="00AA0E14" w:rsidP="00026A19">
            <w:pPr>
              <w:pStyle w:val="Brdtekst"/>
            </w:pPr>
            <w:r>
              <w:t>Postnummer:</w:t>
            </w:r>
          </w:p>
        </w:tc>
        <w:tc>
          <w:tcPr>
            <w:tcW w:w="6275" w:type="dxa"/>
          </w:tcPr>
          <w:p w14:paraId="1BFE76EF" w14:textId="77777777" w:rsidR="00AA0E14" w:rsidRDefault="00AA0E14" w:rsidP="00026A19">
            <w:pPr>
              <w:pStyle w:val="Brdtekst"/>
            </w:pPr>
            <w:proofErr w:type="gramStart"/>
            <w:r>
              <w:t xml:space="preserve">Poststed:   </w:t>
            </w:r>
            <w:proofErr w:type="gramEnd"/>
            <w:r>
              <w:t xml:space="preserve">                              </w:t>
            </w:r>
          </w:p>
        </w:tc>
      </w:tr>
      <w:tr w:rsidR="00D626E3" w14:paraId="57E24D85" w14:textId="77777777" w:rsidTr="00AA0E14">
        <w:tc>
          <w:tcPr>
            <w:tcW w:w="0" w:type="auto"/>
          </w:tcPr>
          <w:p w14:paraId="12E82240" w14:textId="77777777" w:rsidR="00D626E3" w:rsidRDefault="00D626E3" w:rsidP="00026A19">
            <w:pPr>
              <w:pStyle w:val="Brdtekst"/>
            </w:pPr>
            <w:r>
              <w:t>Telefon:</w:t>
            </w:r>
          </w:p>
        </w:tc>
        <w:tc>
          <w:tcPr>
            <w:tcW w:w="6275" w:type="dxa"/>
          </w:tcPr>
          <w:p w14:paraId="6E769FEE" w14:textId="77777777" w:rsidR="00D626E3" w:rsidRDefault="00D626E3" w:rsidP="00026A19">
            <w:pPr>
              <w:pStyle w:val="Brdtekst"/>
            </w:pPr>
            <w:r>
              <w:t>E-postadresse:</w:t>
            </w:r>
          </w:p>
        </w:tc>
      </w:tr>
      <w:tr w:rsidR="00D626E3" w14:paraId="596F75FF" w14:textId="77777777" w:rsidTr="00F065D4">
        <w:tc>
          <w:tcPr>
            <w:tcW w:w="9202" w:type="dxa"/>
            <w:gridSpan w:val="2"/>
          </w:tcPr>
          <w:p w14:paraId="1FC4BC10" w14:textId="77777777" w:rsidR="00D626E3" w:rsidRDefault="00D626E3" w:rsidP="00026A19">
            <w:pPr>
              <w:pStyle w:val="Brdtekst"/>
            </w:pPr>
          </w:p>
        </w:tc>
      </w:tr>
      <w:tr w:rsidR="00E01D3D" w:rsidRPr="004D64BF" w14:paraId="5F9EF397" w14:textId="77777777" w:rsidTr="00F065D4">
        <w:tc>
          <w:tcPr>
            <w:tcW w:w="9202" w:type="dxa"/>
            <w:gridSpan w:val="2"/>
          </w:tcPr>
          <w:p w14:paraId="240E9CB8" w14:textId="77777777" w:rsidR="00E01D3D" w:rsidRPr="004D64BF" w:rsidRDefault="00E01D3D" w:rsidP="00026A19">
            <w:pPr>
              <w:pStyle w:val="Brdtekst"/>
              <w:rPr>
                <w:b/>
              </w:rPr>
            </w:pPr>
            <w:r w:rsidRPr="004D64BF">
              <w:rPr>
                <w:b/>
              </w:rPr>
              <w:t>Kontaktperson tiltakshaver</w:t>
            </w:r>
            <w:r w:rsidR="004D64BF" w:rsidRPr="004D64BF">
              <w:rPr>
                <w:b/>
              </w:rPr>
              <w:t>/konsulent</w:t>
            </w:r>
          </w:p>
        </w:tc>
      </w:tr>
      <w:tr w:rsidR="004D64BF" w14:paraId="7A626165" w14:textId="77777777" w:rsidTr="00C06837">
        <w:tc>
          <w:tcPr>
            <w:tcW w:w="9202" w:type="dxa"/>
            <w:gridSpan w:val="2"/>
          </w:tcPr>
          <w:p w14:paraId="6FF3E342" w14:textId="77777777" w:rsidR="004D64BF" w:rsidRDefault="004D64BF" w:rsidP="00026A19">
            <w:pPr>
              <w:pStyle w:val="Brdtekst"/>
            </w:pPr>
            <w:r>
              <w:t>Navn:</w:t>
            </w:r>
          </w:p>
        </w:tc>
      </w:tr>
      <w:tr w:rsidR="00E01D3D" w14:paraId="4E8CA7FB" w14:textId="77777777" w:rsidTr="00AA0E14">
        <w:tc>
          <w:tcPr>
            <w:tcW w:w="0" w:type="auto"/>
          </w:tcPr>
          <w:p w14:paraId="2B3F5ACD" w14:textId="77777777" w:rsidR="00E01D3D" w:rsidRDefault="0020593B" w:rsidP="00026A19">
            <w:pPr>
              <w:pStyle w:val="Brdtekst"/>
            </w:pPr>
            <w:r>
              <w:t>T</w:t>
            </w:r>
            <w:r w:rsidR="00E01D3D">
              <w:t>elefon</w:t>
            </w:r>
            <w:r w:rsidR="004D64BF">
              <w:t>:</w:t>
            </w:r>
          </w:p>
        </w:tc>
        <w:tc>
          <w:tcPr>
            <w:tcW w:w="6275" w:type="dxa"/>
          </w:tcPr>
          <w:p w14:paraId="388B2EBC" w14:textId="77777777" w:rsidR="00E01D3D" w:rsidRDefault="00E01D3D" w:rsidP="00026A19">
            <w:pPr>
              <w:pStyle w:val="Brdtekst"/>
            </w:pPr>
            <w:r>
              <w:t>E-postadresse</w:t>
            </w:r>
            <w:r w:rsidR="004D64BF">
              <w:t>:</w:t>
            </w:r>
          </w:p>
        </w:tc>
      </w:tr>
    </w:tbl>
    <w:p w14:paraId="05151F2E" w14:textId="1F697589" w:rsidR="008346AF" w:rsidRDefault="00E66238">
      <w:pPr>
        <w:pStyle w:val="Overskrift1"/>
      </w:pPr>
      <w:r w:rsidRPr="00E66238">
        <w:lastRenderedPageBreak/>
        <w:br/>
      </w:r>
      <w:r w:rsidR="00147B85">
        <w:br/>
      </w:r>
      <w:r w:rsidR="004E0762">
        <w:t xml:space="preserve">Informasjon om </w:t>
      </w:r>
      <w:r w:rsidR="008346AF">
        <w:t xml:space="preserve">grunnvannstiltaket </w:t>
      </w:r>
    </w:p>
    <w:p w14:paraId="4250CADF" w14:textId="559E1AFA" w:rsidR="00C06495" w:rsidRDefault="00BC0600" w:rsidP="00C06495">
      <w:pPr>
        <w:pStyle w:val="Brdtekst"/>
      </w:pPr>
      <w:r>
        <w:t>[</w:t>
      </w:r>
      <w:r w:rsidR="00DF3B32">
        <w:t>Hva er formålet med tiltaket?</w:t>
      </w:r>
      <w:r w:rsidR="00C06495">
        <w:t xml:space="preserve"> </w:t>
      </w:r>
      <w:r w:rsidR="00C06495" w:rsidRPr="00C21B8B">
        <w:t xml:space="preserve">Hvis </w:t>
      </w:r>
      <w:r w:rsidR="00C06495">
        <w:t>grunnvannsuttaket</w:t>
      </w:r>
      <w:r w:rsidR="00C06495" w:rsidRPr="00C21B8B">
        <w:t xml:space="preserve"> skal foregå over en eller flere begrensede tidsperioder skal dette angis i teksten (</w:t>
      </w:r>
      <w:proofErr w:type="spellStart"/>
      <w:r w:rsidR="00C06495" w:rsidRPr="00C21B8B">
        <w:t>dd.mm.åååå</w:t>
      </w:r>
      <w:proofErr w:type="spellEnd"/>
      <w:r w:rsidR="00C06495" w:rsidRPr="00C21B8B">
        <w:t xml:space="preserve"> – </w:t>
      </w:r>
      <w:proofErr w:type="spellStart"/>
      <w:r w:rsidR="00C06495" w:rsidRPr="00C21B8B">
        <w:t>dd.mm.åååå</w:t>
      </w:r>
      <w:proofErr w:type="spellEnd"/>
      <w:r w:rsidR="00C06495" w:rsidRPr="00C21B8B">
        <w:t>).</w:t>
      </w:r>
      <w:r w:rsidR="00C06495" w:rsidRPr="001B4484">
        <w:t xml:space="preserve"> </w:t>
      </w:r>
      <w:r w:rsidR="00C06495">
        <w:t>]</w:t>
      </w:r>
    </w:p>
    <w:p w14:paraId="0F90F9BE" w14:textId="77777777" w:rsidR="00BC0600" w:rsidRDefault="00BC0600" w:rsidP="00BC0600">
      <w:pPr>
        <w:pStyle w:val="Brdtekst"/>
      </w:pPr>
      <w:r>
        <w:t>[</w:t>
      </w:r>
      <w:r w:rsidR="00631E81">
        <w:t>Fyll ut tabell</w:t>
      </w:r>
      <w:r>
        <w:t>]</w:t>
      </w:r>
    </w:p>
    <w:p w14:paraId="47C9AE03" w14:textId="77777777" w:rsidR="00BC0600" w:rsidRPr="00DF5EBB" w:rsidRDefault="00BC0600" w:rsidP="00BC0600"/>
    <w:tbl>
      <w:tblPr>
        <w:tblW w:w="91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1560"/>
        <w:gridCol w:w="1487"/>
        <w:gridCol w:w="2184"/>
      </w:tblGrid>
      <w:tr w:rsidR="00BC0600" w:rsidRPr="00AA76E1" w14:paraId="7DCEEE1C" w14:textId="77777777" w:rsidTr="00E73EBA">
        <w:trPr>
          <w:trHeight w:val="255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258794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b/>
                <w:bCs/>
                <w:sz w:val="20"/>
              </w:rPr>
              <w:t>Hoveddata</w:t>
            </w:r>
          </w:p>
        </w:tc>
      </w:tr>
      <w:tr w:rsidR="005D2827" w:rsidRPr="00AA76E1" w14:paraId="41F28CC3" w14:textId="77777777" w:rsidTr="00E611D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34C6DE1" w14:textId="7158D1EF" w:rsidR="005D2827" w:rsidRPr="00AA76E1" w:rsidRDefault="00DE26F2" w:rsidP="00E611D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b/>
                <w:bCs/>
                <w:sz w:val="20"/>
              </w:rPr>
              <w:t>GRUNNVANNSUTTAK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6201825" w14:textId="77777777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84B2CC1" w14:textId="77777777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0700BA2A" w14:textId="77777777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2827" w:rsidRPr="00AA76E1" w14:paraId="2BD22903" w14:textId="77777777" w:rsidTr="00E611D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10EF4D4" w14:textId="1BD6D760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AA76E1">
              <w:rPr>
                <w:rFonts w:ascii="Arial" w:hAnsi="Arial" w:cs="Arial"/>
                <w:bCs/>
                <w:sz w:val="20"/>
              </w:rPr>
              <w:t xml:space="preserve">Tilførselsområde 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5D31048" w14:textId="5E81AE9E" w:rsidR="005D2827" w:rsidRPr="00AA76E1" w:rsidRDefault="005D2827" w:rsidP="00AA76E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km</w:t>
            </w:r>
            <w:r w:rsidRPr="00AA76E1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D245487" w14:textId="77777777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45CB85A0" w14:textId="77777777" w:rsidR="005D2827" w:rsidRPr="00AA76E1" w:rsidRDefault="005D2827" w:rsidP="00E611D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D2827" w:rsidRPr="00AA76E1" w14:paraId="5DCA4C8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799AEF6" w14:textId="05ADC5B3" w:rsidR="005D2827" w:rsidRPr="00AA76E1" w:rsidRDefault="00C121AE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121AE">
              <w:rPr>
                <w:rFonts w:ascii="Arial" w:hAnsi="Arial" w:cs="Arial"/>
                <w:bCs/>
                <w:sz w:val="20"/>
              </w:rPr>
              <w:t>Spesifikk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D2827" w:rsidRPr="00AA76E1">
              <w:rPr>
                <w:rFonts w:ascii="Arial" w:hAnsi="Arial" w:cs="Arial"/>
                <w:b/>
                <w:bCs/>
                <w:sz w:val="20"/>
              </w:rPr>
              <w:t>i</w:t>
            </w:r>
            <w:r w:rsidR="005D2827" w:rsidRPr="00AA76E1">
              <w:rPr>
                <w:rFonts w:ascii="Arial" w:hAnsi="Arial" w:cs="Arial"/>
                <w:bCs/>
                <w:sz w:val="20"/>
              </w:rPr>
              <w:t>nfiltrasjonskapasitet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DD9C08C" w14:textId="2635668B" w:rsidR="005D2827" w:rsidRPr="001B0262" w:rsidRDefault="001B0262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l/m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og 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5BCA902" w14:textId="77777777" w:rsidR="005D2827" w:rsidRPr="00AA76E1" w:rsidRDefault="005D2827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51AC65CD" w14:textId="77777777" w:rsidR="005D2827" w:rsidRPr="00AA76E1" w:rsidRDefault="005D2827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63F1A13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4D81588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Maksimalt vannuttak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0BED67A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l/s el m</w:t>
            </w:r>
            <w:r w:rsidRPr="00AA76E1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AA76E1">
              <w:rPr>
                <w:rFonts w:ascii="Arial" w:hAnsi="Arial" w:cs="Arial"/>
                <w:sz w:val="20"/>
              </w:rPr>
              <w:t>/døgn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436D885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71D23C1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7EDE519C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7C2AFB8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Gjennomsnittlig vannuttak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DBFF89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l/s el m</w:t>
            </w:r>
            <w:r w:rsidRPr="00AA76E1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AA76E1">
              <w:rPr>
                <w:rFonts w:ascii="Arial" w:hAnsi="Arial" w:cs="Arial"/>
                <w:sz w:val="20"/>
              </w:rPr>
              <w:t>/døgn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CE6EE82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258AC7E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518BBE17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1EDC6D5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Antall produksjonsbrønner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9F1A848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stk.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6D18FE6" w14:textId="10C0BBDC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008A37CF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36A30513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908538B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Antall undersøkelsesbrønner/peilebrønner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F79E2F9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stk.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2053E74" w14:textId="4CF3A0C4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6E39B35E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6E4C6301" w14:textId="77777777" w:rsidTr="00E73EBA">
        <w:trPr>
          <w:trHeight w:val="255"/>
        </w:trPr>
        <w:tc>
          <w:tcPr>
            <w:tcW w:w="391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7068158" w14:textId="77777777" w:rsidR="00BC0600" w:rsidRPr="00AA76E1" w:rsidRDefault="00486A0D" w:rsidP="00E73EBA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A76E1">
              <w:rPr>
                <w:rFonts w:ascii="Arial" w:hAnsi="Arial" w:cs="Arial"/>
                <w:b/>
                <w:bCs/>
                <w:sz w:val="20"/>
              </w:rPr>
              <w:t>Ved nærliggende vassdrag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3F9CE5D6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2A068E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  <w:vAlign w:val="bottom"/>
          </w:tcPr>
          <w:p w14:paraId="444A37D3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5E22F0E5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F225D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Tilsigsområde (nedbørfelt)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60D25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km</w:t>
            </w:r>
            <w:r w:rsidRPr="00AA76E1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63432998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229F8E4D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0395B47C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0619F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76E1">
              <w:rPr>
                <w:rFonts w:ascii="Arial" w:hAnsi="Arial" w:cs="Arial"/>
                <w:sz w:val="20"/>
              </w:rPr>
              <w:t>Tilsigsområdets middelavrenning/tilsig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E0833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AA76E1">
              <w:rPr>
                <w:rFonts w:ascii="Arial" w:hAnsi="Arial" w:cs="Arial"/>
                <w:sz w:val="20"/>
              </w:rPr>
              <w:t>l/s pr.km</w:t>
            </w:r>
            <w:r w:rsidRPr="00AA76E1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1DFD54B0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1AA69458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0600" w:rsidRPr="00AA76E1" w14:paraId="0CDD2B58" w14:textId="77777777" w:rsidTr="00E73EBA">
        <w:trPr>
          <w:trHeight w:val="28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9BB96" w14:textId="77777777" w:rsidR="00BC0600" w:rsidRPr="00AA76E1" w:rsidRDefault="00BC0600" w:rsidP="00E73EBA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E285C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487" w:type="dxa"/>
            <w:tcBorders>
              <w:left w:val="nil"/>
              <w:right w:val="nil"/>
            </w:tcBorders>
            <w:noWrap/>
            <w:vAlign w:val="bottom"/>
          </w:tcPr>
          <w:p w14:paraId="6BBF141B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  <w:vAlign w:val="bottom"/>
          </w:tcPr>
          <w:p w14:paraId="1C7342FA" w14:textId="77777777" w:rsidR="00BC0600" w:rsidRPr="00AA76E1" w:rsidRDefault="00BC0600" w:rsidP="00E73EBA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BD47D21" w14:textId="77777777" w:rsidR="00BC0600" w:rsidRDefault="00BC0600" w:rsidP="00C21B8B">
      <w:pPr>
        <w:pStyle w:val="Brdtekst"/>
      </w:pPr>
      <w:r>
        <w:t xml:space="preserve"> </w:t>
      </w:r>
    </w:p>
    <w:p w14:paraId="68883094" w14:textId="07F2F4CF" w:rsidR="009503DB" w:rsidRDefault="00951475" w:rsidP="00C21B8B">
      <w:pPr>
        <w:pStyle w:val="Brdtekst"/>
      </w:pPr>
      <w:r>
        <w:t>[</w:t>
      </w:r>
      <w:r w:rsidR="002277F3">
        <w:t xml:space="preserve">Beskriv hva som skal gjøres. </w:t>
      </w:r>
      <w:r w:rsidR="00A27D79">
        <w:t>I tillegg til å fylle ut tabellen over bør beskrivelsen</w:t>
      </w:r>
      <w:r w:rsidR="002277F3">
        <w:t xml:space="preserve"> inneholde </w:t>
      </w:r>
      <w:r w:rsidR="009503DB">
        <w:t>følgende:</w:t>
      </w:r>
    </w:p>
    <w:p w14:paraId="474AB582" w14:textId="1E21F106" w:rsidR="003C4D8A" w:rsidRDefault="003C4D8A" w:rsidP="00C06495">
      <w:pPr>
        <w:pStyle w:val="Overskrift3"/>
      </w:pPr>
      <w:r>
        <w:t>Vannuttak og brønnutforming</w:t>
      </w:r>
    </w:p>
    <w:p w14:paraId="77A1E267" w14:textId="407C36BD" w:rsidR="003C4D8A" w:rsidRDefault="003C4D8A" w:rsidP="003C4D8A">
      <w:pPr>
        <w:pStyle w:val="Brdtekst"/>
      </w:pPr>
      <w:r>
        <w:t xml:space="preserve">Gjør rede for hvordan vannuttaket skal fordeles mellom brønnene (vekselvis pumping). Oppgi brønntype og beskriv utforming av brønnhus. </w:t>
      </w:r>
    </w:p>
    <w:p w14:paraId="620DED7A" w14:textId="44A7F6D6" w:rsidR="003C4D8A" w:rsidRDefault="003C4D8A" w:rsidP="00C06495">
      <w:pPr>
        <w:pStyle w:val="Overskrift3"/>
      </w:pPr>
      <w:r>
        <w:t>Geologi og karakterisering av grunnvannsforekomsten</w:t>
      </w:r>
    </w:p>
    <w:p w14:paraId="111E38F4" w14:textId="47EC3D17" w:rsidR="003C4D8A" w:rsidRDefault="003C4D8A" w:rsidP="003C4D8A">
      <w:pPr>
        <w:pStyle w:val="Brdtekst"/>
      </w:pPr>
      <w:r>
        <w:t xml:space="preserve">Geologien i området skal kort beskrives. Beskrivelsen skal inneholde informasjon om </w:t>
      </w:r>
      <w:proofErr w:type="spellStart"/>
      <w:r>
        <w:t>løsmasser</w:t>
      </w:r>
      <w:proofErr w:type="spellEnd"/>
      <w:r>
        <w:t xml:space="preserve">, spesielt vannførende </w:t>
      </w:r>
      <w:proofErr w:type="spellStart"/>
      <w:r>
        <w:t>løsmasselag</w:t>
      </w:r>
      <w:proofErr w:type="spellEnd"/>
      <w:r>
        <w:t>, og berggrunn.  Karakteriser også grunnvannsforekomsten. For grunnvannsuttak fra fjell skal sprekkesoner og kjent vanngivende potensial</w:t>
      </w:r>
      <w:r w:rsidR="00DF3B32">
        <w:t xml:space="preserve"> beskrives</w:t>
      </w:r>
      <w:r>
        <w:t xml:space="preserve">. </w:t>
      </w:r>
    </w:p>
    <w:p w14:paraId="568B747B" w14:textId="3880CE6E" w:rsidR="00396F38" w:rsidRDefault="00DF3B32" w:rsidP="00C21B8B">
      <w:pPr>
        <w:pStyle w:val="Brdtekst"/>
      </w:pPr>
      <w:r>
        <w:t xml:space="preserve">Redegjør for </w:t>
      </w:r>
      <w:r w:rsidR="002277F3">
        <w:t xml:space="preserve">hvordan grunnvannsmagasinet skal overvåkes slik at magasinets tåleevne ikke </w:t>
      </w:r>
      <w:proofErr w:type="spellStart"/>
      <w:r w:rsidR="002277F3">
        <w:t>overskrides</w:t>
      </w:r>
      <w:proofErr w:type="spellEnd"/>
      <w:r w:rsidR="00486A0D">
        <w:t xml:space="preserve"> (overvåkningsbrønner)</w:t>
      </w:r>
      <w:r w:rsidR="002277F3">
        <w:t xml:space="preserve">. </w:t>
      </w:r>
    </w:p>
    <w:p w14:paraId="0DF9E63C" w14:textId="77777777" w:rsidR="00396F38" w:rsidRDefault="00396F38" w:rsidP="00C06495">
      <w:pPr>
        <w:pStyle w:val="Overskrift3"/>
      </w:pPr>
      <w:r>
        <w:t>Vannbalanse</w:t>
      </w:r>
    </w:p>
    <w:p w14:paraId="023216EE" w14:textId="6BA8A263" w:rsidR="009503DB" w:rsidRDefault="00C06495" w:rsidP="00C21B8B">
      <w:pPr>
        <w:pStyle w:val="Brdtekst"/>
      </w:pPr>
      <w:r>
        <w:t xml:space="preserve">Vurder vannbalansen, spesielt ev. interaksjon mellom vann og vassdrag og grunnvann. Beskriv hvordan nydannelse av grunnvann foregår. </w:t>
      </w:r>
      <w:r w:rsidR="00A73D0B">
        <w:t xml:space="preserve">Tilsigsområdet </w:t>
      </w:r>
      <w:r>
        <w:t xml:space="preserve">for grunnvannsforekomsten </w:t>
      </w:r>
      <w:r w:rsidR="00A73D0B">
        <w:t xml:space="preserve">skal </w:t>
      </w:r>
      <w:proofErr w:type="spellStart"/>
      <w:r w:rsidR="00A73D0B">
        <w:t>kartfestes</w:t>
      </w:r>
      <w:proofErr w:type="spellEnd"/>
      <w:r w:rsidR="00A73D0B">
        <w:t xml:space="preserve">. </w:t>
      </w:r>
      <w:r w:rsidR="00C6679F">
        <w:t xml:space="preserve">Grunnvannsstrømninger </w:t>
      </w:r>
      <w:r w:rsidR="00CC4339">
        <w:t>(antatt</w:t>
      </w:r>
      <w:r w:rsidR="00A71044">
        <w:t>/kartlagt</w:t>
      </w:r>
      <w:r w:rsidR="00CC4339">
        <w:t xml:space="preserve">) </w:t>
      </w:r>
      <w:r w:rsidR="00C6679F">
        <w:t xml:space="preserve">skal tegnes inn på kart. </w:t>
      </w:r>
    </w:p>
    <w:p w14:paraId="41D10A45" w14:textId="56A65305" w:rsidR="002D71D1" w:rsidRDefault="002D71D1" w:rsidP="00C21B8B">
      <w:pPr>
        <w:pStyle w:val="Brdtekst"/>
      </w:pPr>
      <w:r>
        <w:t xml:space="preserve">Beskriv ev. resultat fra prøvepumping. </w:t>
      </w:r>
    </w:p>
    <w:p w14:paraId="3D78A423" w14:textId="551526D5" w:rsidR="00396F38" w:rsidRDefault="00347736" w:rsidP="00C06495">
      <w:pPr>
        <w:pStyle w:val="Overskrift3"/>
      </w:pPr>
      <w:r>
        <w:t>Re-infiltrasjon</w:t>
      </w:r>
    </w:p>
    <w:p w14:paraId="45CBC740" w14:textId="77777777" w:rsidR="009503DB" w:rsidRDefault="002277F3" w:rsidP="00C21B8B">
      <w:pPr>
        <w:pStyle w:val="Brdtekst"/>
      </w:pPr>
      <w:r>
        <w:t>D</w:t>
      </w:r>
      <w:r w:rsidR="001315F1">
        <w:t>ersom</w:t>
      </w:r>
      <w:r>
        <w:t xml:space="preserve"> vann skal re-infiltreres bør det beskrives hvordan dette skal utføres og informeres om hvor mye vann som skal </w:t>
      </w:r>
      <w:r w:rsidR="00C6679F">
        <w:t>tilbakeføres til grunnen. Vurder ev. virkninger re-infiltrasjon kan medføre for grunnvannsforekomsten.</w:t>
      </w:r>
      <w:r w:rsidR="00A73D0B">
        <w:t xml:space="preserve"> </w:t>
      </w:r>
    </w:p>
    <w:p w14:paraId="0B83C426" w14:textId="35A7CA54" w:rsidR="00C6679F" w:rsidRDefault="00C6679F" w:rsidP="00C21B8B">
      <w:pPr>
        <w:pStyle w:val="Brdtekst"/>
      </w:pPr>
      <w:r>
        <w:lastRenderedPageBreak/>
        <w:t xml:space="preserve">Dersom </w:t>
      </w:r>
      <w:r w:rsidR="000B0235">
        <w:t xml:space="preserve">nye </w:t>
      </w:r>
      <w:r>
        <w:t>arealinngrep</w:t>
      </w:r>
      <w:r w:rsidR="00CC4339">
        <w:t xml:space="preserve"> som for eksempel vannledninger og</w:t>
      </w:r>
      <w:r w:rsidR="000B0235">
        <w:t xml:space="preserve"> veier</w:t>
      </w:r>
      <w:r>
        <w:t xml:space="preserve"> i forbindel</w:t>
      </w:r>
      <w:r w:rsidR="000B0235">
        <w:t>se med etablering av grunnvannstiltaket</w:t>
      </w:r>
      <w:r>
        <w:t xml:space="preserve"> kan påvirke innsjøer, </w:t>
      </w:r>
      <w:r w:rsidR="00CC4339">
        <w:t>tjern, elver og bekker,</w:t>
      </w:r>
      <w:r w:rsidR="000B0235">
        <w:t xml:space="preserve"> må inngrepene beskrives og </w:t>
      </w:r>
      <w:proofErr w:type="spellStart"/>
      <w:r w:rsidR="000B0235">
        <w:t>kartfestes</w:t>
      </w:r>
      <w:proofErr w:type="spellEnd"/>
      <w:r w:rsidR="000B0235">
        <w:t xml:space="preserve">. </w:t>
      </w:r>
    </w:p>
    <w:p w14:paraId="5908996E" w14:textId="3F6AA946" w:rsidR="00026A19" w:rsidRPr="00C21B8B" w:rsidRDefault="00A17C5D" w:rsidP="00C21B8B">
      <w:pPr>
        <w:pStyle w:val="Brdtekst"/>
      </w:pPr>
      <w:r w:rsidRPr="00C21B8B">
        <w:t>Det skal legges ved et</w:t>
      </w:r>
      <w:r w:rsidR="0032244D">
        <w:t xml:space="preserve"> detaljert kart</w:t>
      </w:r>
      <w:r w:rsidRPr="00C21B8B">
        <w:t xml:space="preserve"> (1:5000) over tiltaksområdet der</w:t>
      </w:r>
      <w:r w:rsidR="00D677E2">
        <w:t xml:space="preserve"> brønnområdet og alle brønnene, både produksjonsbrønner og ev. peilebrønner</w:t>
      </w:r>
      <w:r w:rsidRPr="00C21B8B">
        <w:t xml:space="preserve"> skal være inntegnet i farger</w:t>
      </w:r>
      <w:r w:rsidR="00A73D0B">
        <w:t xml:space="preserve">. Andre arealinngrep som berører vann og vassdrag skal også </w:t>
      </w:r>
      <w:proofErr w:type="spellStart"/>
      <w:r w:rsidR="00A73D0B">
        <w:t>kartfestes</w:t>
      </w:r>
      <w:proofErr w:type="spellEnd"/>
      <w:r w:rsidR="00A73D0B">
        <w:t>.</w:t>
      </w:r>
      <w:r w:rsidR="00367361">
        <w:t xml:space="preserve"> Hvis det planlegges re-</w:t>
      </w:r>
      <w:r w:rsidR="003C4AEE">
        <w:t>infiltrasjon</w:t>
      </w:r>
      <w:r w:rsidR="00A71044">
        <w:t xml:space="preserve"> </w:t>
      </w:r>
      <w:r w:rsidR="00367361">
        <w:t>skal plassering av anlegget avmerkes.</w:t>
      </w:r>
      <w:r w:rsidR="00A73D0B">
        <w:t xml:space="preserve"> </w:t>
      </w:r>
      <w:r w:rsidRPr="00C21B8B">
        <w:t xml:space="preserve">Kartet skal ha en god </w:t>
      </w:r>
      <w:r w:rsidR="004D64BF">
        <w:t>tegnforklaring.</w:t>
      </w:r>
      <w:r w:rsidR="00951475">
        <w:t>]</w:t>
      </w:r>
    </w:p>
    <w:p w14:paraId="3803E230" w14:textId="77777777" w:rsidR="00A564E5" w:rsidRDefault="00B443DC" w:rsidP="00D57E31">
      <w:pPr>
        <w:pStyle w:val="Overskrift1"/>
      </w:pPr>
      <w:r>
        <w:t>Beskrivelse av a</w:t>
      </w:r>
      <w:r w:rsidR="004D154A">
        <w:t>llmenne interesser</w:t>
      </w:r>
      <w:r w:rsidR="008C24F7">
        <w:t xml:space="preserve"> og forholdet til offentlige planer og føringer</w:t>
      </w:r>
    </w:p>
    <w:p w14:paraId="08091A6A" w14:textId="77777777" w:rsidR="00FA4142" w:rsidRPr="00FA4142" w:rsidRDefault="00FA4142" w:rsidP="00FA4142">
      <w:pPr>
        <w:pStyle w:val="Brdtekst"/>
      </w:pPr>
      <w:r w:rsidRPr="00FA4142">
        <w:rPr>
          <w:b/>
        </w:rPr>
        <w:t>[E</w:t>
      </w:r>
      <w:r w:rsidR="00EE6B4D">
        <w:rPr>
          <w:b/>
        </w:rPr>
        <w:t>rstatt tekst som står i</w:t>
      </w:r>
      <w:r w:rsidR="0053203E">
        <w:rPr>
          <w:b/>
        </w:rPr>
        <w:t xml:space="preserve"> klammer med</w:t>
      </w:r>
      <w:r w:rsidRPr="00FA4142">
        <w:rPr>
          <w:b/>
        </w:rPr>
        <w:t xml:space="preserve"> den informasjonen so</w:t>
      </w:r>
      <w:r w:rsidR="00F821D0">
        <w:rPr>
          <w:b/>
        </w:rPr>
        <w:t>m etterspørres i teksten. Tekst</w:t>
      </w:r>
      <w:r w:rsidR="00407630">
        <w:rPr>
          <w:b/>
        </w:rPr>
        <w:t>en</w:t>
      </w:r>
      <w:r w:rsidR="003B0F16">
        <w:rPr>
          <w:b/>
        </w:rPr>
        <w:t xml:space="preserve"> </w:t>
      </w:r>
      <w:r w:rsidRPr="00FA4142">
        <w:rPr>
          <w:b/>
        </w:rPr>
        <w:t>i klammer skal slettes før meldeskjemaet sendes inn.</w:t>
      </w:r>
      <w:r>
        <w:rPr>
          <w:b/>
        </w:rPr>
        <w:t xml:space="preserve"> </w:t>
      </w:r>
      <w:r w:rsidR="006E5AC0">
        <w:rPr>
          <w:b/>
        </w:rPr>
        <w:t xml:space="preserve">Overskrifter skal ikke slettes med mindre dette er spesifisert. </w:t>
      </w:r>
      <w:r>
        <w:rPr>
          <w:b/>
        </w:rPr>
        <w:t>Dette gjelder for resten a</w:t>
      </w:r>
      <w:r w:rsidR="0093343D">
        <w:rPr>
          <w:b/>
        </w:rPr>
        <w:t>v me</w:t>
      </w:r>
      <w:r>
        <w:rPr>
          <w:b/>
        </w:rPr>
        <w:t>l</w:t>
      </w:r>
      <w:r w:rsidR="0093343D">
        <w:rPr>
          <w:b/>
        </w:rPr>
        <w:t>d</w:t>
      </w:r>
      <w:r>
        <w:rPr>
          <w:b/>
        </w:rPr>
        <w:t>eskjemaet.</w:t>
      </w:r>
      <w:r>
        <w:t>]</w:t>
      </w:r>
    </w:p>
    <w:p w14:paraId="60471937" w14:textId="77777777" w:rsidR="004D154A" w:rsidRDefault="00FA4142" w:rsidP="004D154A">
      <w:pPr>
        <w:pStyle w:val="Brdtekst"/>
      </w:pPr>
      <w:r>
        <w:t>[</w:t>
      </w:r>
      <w:r w:rsidR="00A03FE6" w:rsidRPr="004D154A">
        <w:t>Beskriv dagens situasjon og virkning for allmenne interesser</w:t>
      </w:r>
      <w:r w:rsidR="008B63D3">
        <w:t xml:space="preserve"> innenfor utbyggingsområdet</w:t>
      </w:r>
      <w:r w:rsidR="00A03FE6" w:rsidRPr="004D154A">
        <w:t xml:space="preserve"> på bakgrunn av eksisterende informasjon. I teksten skal det henvises til søk i fagdatabaser og/eller aktuelle nettsider.</w:t>
      </w:r>
      <w:r w:rsidR="00951475" w:rsidRPr="00951475">
        <w:t xml:space="preserve"> </w:t>
      </w:r>
      <w:r w:rsidR="00951475">
        <w:t>]</w:t>
      </w:r>
    </w:p>
    <w:p w14:paraId="180FB333" w14:textId="77777777" w:rsidR="00156521" w:rsidRDefault="004D154A" w:rsidP="00C67FD6">
      <w:pPr>
        <w:pStyle w:val="Brdtekst"/>
        <w:rPr>
          <w:rStyle w:val="Hyperkobling"/>
          <w:color w:val="auto"/>
          <w:u w:val="none"/>
        </w:rPr>
      </w:pPr>
      <w:r w:rsidRPr="004D64BF">
        <w:rPr>
          <w:b/>
        </w:rPr>
        <w:t>Naturens mangfold</w:t>
      </w:r>
      <w:r w:rsidR="00590260" w:rsidRPr="004D64BF">
        <w:rPr>
          <w:b/>
        </w:rPr>
        <w:br/>
      </w:r>
      <w:r w:rsidR="0093343D" w:rsidRPr="0093343D">
        <w:t>[</w:t>
      </w:r>
      <w:r w:rsidR="008B63D3" w:rsidRPr="00590260">
        <w:t>Innhent informasjon om rødlistearter</w:t>
      </w:r>
      <w:r w:rsidR="00A220FD" w:rsidRPr="00590260">
        <w:t>(</w:t>
      </w:r>
      <w:hyperlink r:id="rId9" w:history="1">
        <w:r w:rsidR="00A220FD" w:rsidRPr="00590260">
          <w:rPr>
            <w:rStyle w:val="Hyperkobling"/>
          </w:rPr>
          <w:t>http://artskart.artsdatabanken.no/Default.aspx</w:t>
        </w:r>
      </w:hyperlink>
      <w:r w:rsidR="00A220FD" w:rsidRPr="00590260">
        <w:t xml:space="preserve">), </w:t>
      </w:r>
      <w:r w:rsidR="003A5FFB" w:rsidRPr="00590260">
        <w:t>naturtyper</w:t>
      </w:r>
      <w:r w:rsidR="008B63D3" w:rsidRPr="00590260">
        <w:t>, fisk og villrein som inngår i utbyggingsområdet/tiltaksområdet.</w:t>
      </w:r>
      <w:r w:rsidR="003A5FFB" w:rsidRPr="00590260">
        <w:t xml:space="preserve"> </w:t>
      </w:r>
      <w:r w:rsidR="00871BC4" w:rsidRPr="00590260">
        <w:t>Miljød</w:t>
      </w:r>
      <w:r w:rsidR="003A5FFB" w:rsidRPr="00590260">
        <w:t>irektoratet har flere karttjenester som inneholder informasjon om naturmangfoldet, for eksempel Naturbase,</w:t>
      </w:r>
      <w:r w:rsidR="00292BC8" w:rsidRPr="00590260">
        <w:t xml:space="preserve"> </w:t>
      </w:r>
      <w:r w:rsidR="003A5FFB" w:rsidRPr="00590260">
        <w:t>Lakseregisteret, Villreinbase og Vannmiljø</w:t>
      </w:r>
      <w:r w:rsidR="0086515F" w:rsidRPr="00590260">
        <w:t xml:space="preserve">, se: </w:t>
      </w:r>
      <w:hyperlink r:id="rId10" w:history="1">
        <w:r w:rsidR="0086515F" w:rsidRPr="00590260">
          <w:rPr>
            <w:rStyle w:val="Hyperkobling"/>
          </w:rPr>
          <w:t>http://www.miljødirektoratet.no/kart/</w:t>
        </w:r>
      </w:hyperlink>
      <w:r w:rsidR="0086515F" w:rsidRPr="00590260">
        <w:t xml:space="preserve">. </w:t>
      </w:r>
      <w:r w:rsidR="00C67FD6" w:rsidRPr="00C67FD6">
        <w:rPr>
          <w:rStyle w:val="Hyperkobling"/>
          <w:color w:val="auto"/>
          <w:u w:val="none"/>
        </w:rPr>
        <w:t>Ta kontakt med Fylkesmannen og kommunen og undersøk hvilken informasjon de har om naturmangfoldet innenfor influens- og utbyggingsområdet.</w:t>
      </w:r>
    </w:p>
    <w:p w14:paraId="6BCC6362" w14:textId="77777777" w:rsidR="00EF1C9A" w:rsidRDefault="00EF1C9A" w:rsidP="00EF1C9A">
      <w:pPr>
        <w:pStyle w:val="Brdtekst"/>
      </w:pPr>
      <w:r>
        <w:t xml:space="preserve">Økosystemer som våtmarker, myrer, elvebredder og skog kan være viktige lagre for klimagasser. Dersom tiltaket medfører inngrep i slike økosystem, må dette beskrives.   </w:t>
      </w:r>
    </w:p>
    <w:p w14:paraId="229F427A" w14:textId="4550EBF2" w:rsidR="008B63D3" w:rsidRPr="00C67FD6" w:rsidRDefault="00EF1C9A" w:rsidP="00C67FD6">
      <w:pPr>
        <w:pStyle w:val="Brdtekst"/>
      </w:pPr>
      <w:r>
        <w:t xml:space="preserve">Hovedregelen er at naturbaserte løsninger bør velges, se «Statlige planretningslinjer for klima- og energiplanlegging og klimatilpasning» på lovdata.no. Dersom naturbaserte løsninger, som for eksempel å holde vassdrag åpne blir valgt bort, skal dette særskilt begrunnes. For mer informasjon om klimatilpasning, se </w:t>
      </w:r>
      <w:hyperlink r:id="rId11" w:history="1">
        <w:r w:rsidRPr="00084C5D">
          <w:rPr>
            <w:rStyle w:val="Hyperkobling"/>
          </w:rPr>
          <w:t>klimatilpasning.no</w:t>
        </w:r>
      </w:hyperlink>
      <w:r>
        <w:t>.</w:t>
      </w:r>
      <w:r w:rsidRPr="00C362D4">
        <w:t>]</w:t>
      </w:r>
    </w:p>
    <w:p w14:paraId="52C60096" w14:textId="77777777" w:rsidR="008B63D3" w:rsidRPr="00590260" w:rsidRDefault="004D154A" w:rsidP="00590260">
      <w:pPr>
        <w:pStyle w:val="Overskrift3"/>
        <w:rPr>
          <w:i w:val="0"/>
        </w:rPr>
      </w:pPr>
      <w:r w:rsidRPr="004D64BF">
        <w:rPr>
          <w:b/>
          <w:i w:val="0"/>
        </w:rPr>
        <w:t>Landskap</w:t>
      </w:r>
      <w:r w:rsidR="00590260" w:rsidRPr="004D64BF">
        <w:rPr>
          <w:b/>
          <w:i w:val="0"/>
        </w:rPr>
        <w:br/>
      </w:r>
      <w:r w:rsidR="0093343D" w:rsidRPr="0093343D">
        <w:rPr>
          <w:i w:val="0"/>
        </w:rPr>
        <w:t>[</w:t>
      </w:r>
      <w:r w:rsidR="006F2E81">
        <w:rPr>
          <w:i w:val="0"/>
        </w:rPr>
        <w:t xml:space="preserve">Vurder hvordan arealinngrep som for eksempel </w:t>
      </w:r>
      <w:r w:rsidR="0038142F">
        <w:rPr>
          <w:i w:val="0"/>
        </w:rPr>
        <w:t>etablering av brønner/</w:t>
      </w:r>
      <w:proofErr w:type="gramStart"/>
      <w:r w:rsidR="006F2E81">
        <w:rPr>
          <w:i w:val="0"/>
        </w:rPr>
        <w:t>brønnområdet ,</w:t>
      </w:r>
      <w:proofErr w:type="gramEnd"/>
      <w:r w:rsidR="006F2E81">
        <w:rPr>
          <w:i w:val="0"/>
        </w:rPr>
        <w:t xml:space="preserve"> ev. sikringstiltak i brønnområdet</w:t>
      </w:r>
      <w:r w:rsidR="006F2E81" w:rsidRPr="00954801">
        <w:rPr>
          <w:i w:val="0"/>
        </w:rPr>
        <w:t xml:space="preserve">, vil </w:t>
      </w:r>
      <w:r w:rsidR="006F2E81">
        <w:rPr>
          <w:i w:val="0"/>
        </w:rPr>
        <w:t>påvirke opplevelsen av landskapet.</w:t>
      </w:r>
      <w:r w:rsidR="00951475" w:rsidRPr="00951475">
        <w:rPr>
          <w:i w:val="0"/>
        </w:rPr>
        <w:t>]</w:t>
      </w:r>
    </w:p>
    <w:p w14:paraId="11115229" w14:textId="77777777" w:rsidR="008B63D3" w:rsidRPr="00590260" w:rsidRDefault="004D154A" w:rsidP="00590260">
      <w:pPr>
        <w:pStyle w:val="Overskrift3"/>
        <w:rPr>
          <w:i w:val="0"/>
        </w:rPr>
      </w:pPr>
      <w:r w:rsidRPr="004D64BF">
        <w:rPr>
          <w:b/>
          <w:i w:val="0"/>
        </w:rPr>
        <w:t>Brukerinteresser</w:t>
      </w:r>
      <w:r w:rsidR="00A03FE6" w:rsidRPr="004D64BF">
        <w:rPr>
          <w:b/>
          <w:i w:val="0"/>
        </w:rPr>
        <w:t xml:space="preserve"> </w:t>
      </w:r>
      <w:r w:rsidR="00590260" w:rsidRPr="004D64BF">
        <w:rPr>
          <w:b/>
          <w:i w:val="0"/>
        </w:rPr>
        <w:br/>
      </w:r>
      <w:r w:rsidR="0093343D" w:rsidRPr="0093343D">
        <w:rPr>
          <w:i w:val="0"/>
        </w:rPr>
        <w:t>[</w:t>
      </w:r>
      <w:r w:rsidR="008B63D3" w:rsidRPr="00590260">
        <w:rPr>
          <w:i w:val="0"/>
        </w:rPr>
        <w:t xml:space="preserve">Beskriv brukerinteresser knyttet til </w:t>
      </w:r>
      <w:hyperlink r:id="rId12" w:history="1">
        <w:r w:rsidR="006A47C9" w:rsidRPr="00590260">
          <w:rPr>
            <w:rStyle w:val="Hyperkobling"/>
            <w:i w:val="0"/>
            <w:szCs w:val="17"/>
          </w:rPr>
          <w:t>reindrift (http://www.reindrift.no/), ,</w:t>
        </w:r>
      </w:hyperlink>
      <w:r w:rsidR="008B63D3" w:rsidRPr="00590260">
        <w:rPr>
          <w:i w:val="0"/>
        </w:rPr>
        <w:t xml:space="preserve"> jakt og fiske, friluftsliv og reiseliv</w:t>
      </w:r>
      <w:proofErr w:type="gramStart"/>
      <w:r w:rsidR="008B63D3" w:rsidRPr="00590260">
        <w:rPr>
          <w:i w:val="0"/>
        </w:rPr>
        <w:t>.</w:t>
      </w:r>
      <w:r w:rsidR="00951475" w:rsidRPr="00951475">
        <w:t xml:space="preserve"> </w:t>
      </w:r>
      <w:r w:rsidR="00951475" w:rsidRPr="00951475">
        <w:rPr>
          <w:i w:val="0"/>
        </w:rPr>
        <w:t>]</w:t>
      </w:r>
      <w:proofErr w:type="gramEnd"/>
      <w:r w:rsidR="008B63D3" w:rsidRPr="00590260">
        <w:rPr>
          <w:i w:val="0"/>
        </w:rPr>
        <w:t xml:space="preserve"> </w:t>
      </w:r>
    </w:p>
    <w:p w14:paraId="6089B64D" w14:textId="77777777" w:rsidR="00920ACB" w:rsidRDefault="004D154A" w:rsidP="00590260">
      <w:pPr>
        <w:pStyle w:val="Overskrift3"/>
        <w:rPr>
          <w:i w:val="0"/>
        </w:rPr>
      </w:pPr>
      <w:r w:rsidRPr="004D64BF">
        <w:rPr>
          <w:b/>
          <w:i w:val="0"/>
        </w:rPr>
        <w:t>Kulturminner</w:t>
      </w:r>
      <w:r w:rsidR="00590260" w:rsidRPr="004D64BF">
        <w:rPr>
          <w:b/>
          <w:i w:val="0"/>
        </w:rPr>
        <w:br/>
      </w:r>
      <w:r w:rsidR="0093343D" w:rsidRPr="0093343D">
        <w:rPr>
          <w:i w:val="0"/>
        </w:rPr>
        <w:t>[</w:t>
      </w:r>
      <w:r w:rsidR="00920ACB" w:rsidRPr="00590260">
        <w:rPr>
          <w:i w:val="0"/>
        </w:rPr>
        <w:t xml:space="preserve">Fylkeskommunen og ev. </w:t>
      </w:r>
      <w:r w:rsidR="004176F4" w:rsidRPr="00590260">
        <w:rPr>
          <w:i w:val="0"/>
        </w:rPr>
        <w:t>S</w:t>
      </w:r>
      <w:r w:rsidR="00920ACB" w:rsidRPr="00590260">
        <w:rPr>
          <w:i w:val="0"/>
        </w:rPr>
        <w:t>ametinget kan kontaktes for informasjon</w:t>
      </w:r>
      <w:r w:rsidR="003A5FFB" w:rsidRPr="00590260">
        <w:rPr>
          <w:i w:val="0"/>
        </w:rPr>
        <w:t>. Av karttjenester finnes bl.a.</w:t>
      </w:r>
      <w:r w:rsidR="00920ACB" w:rsidRPr="00590260">
        <w:rPr>
          <w:i w:val="0"/>
        </w:rPr>
        <w:t xml:space="preserve"> </w:t>
      </w:r>
      <w:hyperlink r:id="rId13" w:tgtFrame="_blank" w:history="1">
        <w:r w:rsidR="00920ACB" w:rsidRPr="00590260">
          <w:rPr>
            <w:i w:val="0"/>
            <w:u w:val="single"/>
          </w:rPr>
          <w:t>kulturminnesøk</w:t>
        </w:r>
      </w:hyperlink>
      <w:r w:rsidR="00920ACB" w:rsidRPr="00590260">
        <w:rPr>
          <w:rFonts w:ascii="Verdana" w:hAnsi="Verdana"/>
          <w:i w:val="0"/>
          <w:sz w:val="17"/>
          <w:szCs w:val="17"/>
        </w:rPr>
        <w:t>.</w:t>
      </w:r>
      <w:r w:rsidR="00951475">
        <w:rPr>
          <w:rFonts w:ascii="Verdana" w:hAnsi="Verdana"/>
          <w:i w:val="0"/>
          <w:sz w:val="17"/>
          <w:szCs w:val="17"/>
        </w:rPr>
        <w:t xml:space="preserve"> </w:t>
      </w:r>
      <w:r w:rsidR="00951475" w:rsidRPr="00951475">
        <w:rPr>
          <w:i w:val="0"/>
        </w:rPr>
        <w:t>]</w:t>
      </w:r>
    </w:p>
    <w:p w14:paraId="69ABAF26" w14:textId="7A6B232C" w:rsidR="001B0262" w:rsidRDefault="001B0262" w:rsidP="00E011FA">
      <w:pPr>
        <w:pStyle w:val="Overskrift2"/>
      </w:pPr>
      <w:r>
        <w:t>Flomfare</w:t>
      </w:r>
    </w:p>
    <w:p w14:paraId="66FE880A" w14:textId="77777777" w:rsidR="00672F8A" w:rsidRDefault="00F543D9" w:rsidP="00E011FA">
      <w:pPr>
        <w:pStyle w:val="Brdtekst"/>
      </w:pPr>
      <w:r w:rsidRPr="00EB1E2E">
        <w:t>[</w:t>
      </w:r>
      <w:r w:rsidR="001B0262">
        <w:t xml:space="preserve">Innhent informasjon om flomfare fra </w:t>
      </w:r>
      <w:r w:rsidR="007C0937">
        <w:t xml:space="preserve">NVE Atlas: </w:t>
      </w:r>
      <w:proofErr w:type="gramStart"/>
      <w:r w:rsidR="007C0937">
        <w:t>https://atlas.nve.no .</w:t>
      </w:r>
      <w:proofErr w:type="gramEnd"/>
      <w:r w:rsidR="007C0937">
        <w:t xml:space="preserve">  I tillegg kan NVEs retningslinjer </w:t>
      </w:r>
      <w:r w:rsidR="00E011FA" w:rsidRPr="00E011FA">
        <w:rPr>
          <w:i/>
        </w:rPr>
        <w:t>«</w:t>
      </w:r>
      <w:proofErr w:type="spellStart"/>
      <w:r w:rsidR="007C0937" w:rsidRPr="00E011FA">
        <w:rPr>
          <w:i/>
        </w:rPr>
        <w:t>Flaum</w:t>
      </w:r>
      <w:proofErr w:type="spellEnd"/>
      <w:r w:rsidR="007C0937" w:rsidRPr="00E011FA">
        <w:rPr>
          <w:i/>
        </w:rPr>
        <w:t>- og skredfare i arealplaner</w:t>
      </w:r>
      <w:r w:rsidR="00E011FA" w:rsidRPr="00E011FA">
        <w:rPr>
          <w:i/>
        </w:rPr>
        <w:t>»</w:t>
      </w:r>
      <w:r w:rsidR="007C0937">
        <w:t xml:space="preserve"> gi relevant informasjon om temaet, selv om denne er ment for arealplanlegging etter plan- og bygningsloven</w:t>
      </w:r>
      <w:r w:rsidR="00E011FA">
        <w:t xml:space="preserve">, se: </w:t>
      </w:r>
      <w:hyperlink r:id="rId14" w:history="1">
        <w:r w:rsidR="00E011FA" w:rsidRPr="009C1310">
          <w:rPr>
            <w:rStyle w:val="Hyperkobling"/>
          </w:rPr>
          <w:t>http://publikasjoner.nve.no/retningslinjer/2011/retningslinjer2011_02.pdf</w:t>
        </w:r>
      </w:hyperlink>
      <w:r w:rsidR="00E011FA">
        <w:t xml:space="preserve"> </w:t>
      </w:r>
      <w:r>
        <w:t>.</w:t>
      </w:r>
      <w:r w:rsidRPr="00951475">
        <w:t>]</w:t>
      </w:r>
    </w:p>
    <w:p w14:paraId="1E2385C9" w14:textId="4DB5D5C7" w:rsidR="00D179FD" w:rsidRDefault="00D179FD" w:rsidP="00E011FA">
      <w:pPr>
        <w:pStyle w:val="Brdtekst"/>
        <w:rPr>
          <w:i/>
        </w:rPr>
      </w:pPr>
      <w:r w:rsidRPr="004D64BF">
        <w:rPr>
          <w:b/>
        </w:rPr>
        <w:t>Skred</w:t>
      </w:r>
      <w:r w:rsidR="00590260" w:rsidRPr="004D64BF">
        <w:rPr>
          <w:b/>
        </w:rPr>
        <w:br/>
      </w:r>
      <w:r w:rsidR="0093343D" w:rsidRPr="0093343D">
        <w:t>[</w:t>
      </w:r>
      <w:r w:rsidR="00DC5849" w:rsidRPr="00590260">
        <w:t xml:space="preserve">Innhent informasjon om skredfare fra Skredatlas, se </w:t>
      </w:r>
      <w:hyperlink r:id="rId15" w:history="1">
        <w:r w:rsidR="00DC5849" w:rsidRPr="00590260">
          <w:rPr>
            <w:rStyle w:val="Hyperkobling"/>
          </w:rPr>
          <w:t>www.skrednett.no</w:t>
        </w:r>
      </w:hyperlink>
      <w:r w:rsidR="00F821D0">
        <w:t>.</w:t>
      </w:r>
      <w:r w:rsidR="00951475" w:rsidRPr="00951475">
        <w:t>]</w:t>
      </w:r>
    </w:p>
    <w:p w14:paraId="53D03361" w14:textId="77777777" w:rsidR="00EC537C" w:rsidRPr="00EB1E2E" w:rsidRDefault="00EB1E2E" w:rsidP="00EC537C">
      <w:pPr>
        <w:pStyle w:val="Brdtekst"/>
        <w:rPr>
          <w:b/>
        </w:rPr>
      </w:pPr>
      <w:r w:rsidRPr="00EB1E2E">
        <w:rPr>
          <w:b/>
        </w:rPr>
        <w:lastRenderedPageBreak/>
        <w:t>Mineral-</w:t>
      </w:r>
      <w:r w:rsidR="00EC537C" w:rsidRPr="00EB1E2E">
        <w:rPr>
          <w:b/>
        </w:rPr>
        <w:t xml:space="preserve"> og </w:t>
      </w:r>
      <w:proofErr w:type="spellStart"/>
      <w:r w:rsidR="00EC537C" w:rsidRPr="00EB1E2E">
        <w:rPr>
          <w:b/>
        </w:rPr>
        <w:t>løsmasseressurser</w:t>
      </w:r>
      <w:proofErr w:type="spellEnd"/>
    </w:p>
    <w:p w14:paraId="754FF563" w14:textId="77777777" w:rsidR="00EB1E2E" w:rsidRPr="00EB1E2E" w:rsidRDefault="00EB1E2E" w:rsidP="00EB1E2E">
      <w:pPr>
        <w:pStyle w:val="Brdtekst"/>
      </w:pPr>
      <w:r w:rsidRPr="00EB1E2E">
        <w:t>[I</w:t>
      </w:r>
      <w:r>
        <w:t xml:space="preserve">nnhent informasjon om mineralressurser og </w:t>
      </w:r>
      <w:proofErr w:type="spellStart"/>
      <w:r>
        <w:t>løsmasseressurser</w:t>
      </w:r>
      <w:proofErr w:type="spellEnd"/>
      <w:r>
        <w:t xml:space="preserve"> fra kartinnsynet til Norges geologiske undersøkelser (NGU), se </w:t>
      </w:r>
      <w:hyperlink r:id="rId16" w:history="1">
        <w:r w:rsidRPr="00BB39E4">
          <w:rPr>
            <w:rStyle w:val="Hyperkobling"/>
          </w:rPr>
          <w:t>http://www.ngu.no/emne/kartinnsyn</w:t>
        </w:r>
      </w:hyperlink>
      <w:r>
        <w:t>.</w:t>
      </w:r>
      <w:r w:rsidRPr="00EB1E2E">
        <w:t>]</w:t>
      </w:r>
    </w:p>
    <w:p w14:paraId="1785DF69" w14:textId="77777777" w:rsidR="00862012" w:rsidRDefault="00862012" w:rsidP="00590260">
      <w:pPr>
        <w:pStyle w:val="Overskrift3"/>
        <w:rPr>
          <w:i w:val="0"/>
        </w:rPr>
      </w:pPr>
      <w:r w:rsidRPr="004D64BF">
        <w:rPr>
          <w:b/>
          <w:i w:val="0"/>
        </w:rPr>
        <w:t>Offentlige planer og nasjonale føringer</w:t>
      </w:r>
      <w:r w:rsidR="00590260" w:rsidRPr="004D64BF">
        <w:rPr>
          <w:b/>
          <w:i w:val="0"/>
        </w:rPr>
        <w:br/>
      </w:r>
      <w:r w:rsidR="0093343D" w:rsidRPr="0093343D">
        <w:rPr>
          <w:i w:val="0"/>
        </w:rPr>
        <w:t>[</w:t>
      </w:r>
      <w:r w:rsidR="00987684">
        <w:rPr>
          <w:i w:val="0"/>
        </w:rPr>
        <w:t>Beskriv forholdet til</w:t>
      </w:r>
      <w:r w:rsidR="0056629E" w:rsidRPr="00590260">
        <w:rPr>
          <w:i w:val="0"/>
        </w:rPr>
        <w:t xml:space="preserve"> </w:t>
      </w:r>
      <w:r w:rsidRPr="00590260">
        <w:rPr>
          <w:i w:val="0"/>
        </w:rPr>
        <w:t>kommunale planer</w:t>
      </w:r>
      <w:r w:rsidR="00EE7242" w:rsidRPr="00590260">
        <w:rPr>
          <w:i w:val="0"/>
        </w:rPr>
        <w:t>,</w:t>
      </w:r>
      <w:r w:rsidR="00E80538" w:rsidRPr="00590260">
        <w:rPr>
          <w:i w:val="0"/>
        </w:rPr>
        <w:t xml:space="preserve"> </w:t>
      </w:r>
      <w:r w:rsidR="00EE7242" w:rsidRPr="00590260">
        <w:rPr>
          <w:i w:val="0"/>
        </w:rPr>
        <w:t xml:space="preserve">inngrepsfrie </w:t>
      </w:r>
      <w:r w:rsidR="00E80538" w:rsidRPr="00590260">
        <w:rPr>
          <w:i w:val="0"/>
        </w:rPr>
        <w:t>områder (INON)</w:t>
      </w:r>
      <w:r w:rsidR="00B91A29" w:rsidRPr="00590260">
        <w:rPr>
          <w:i w:val="0"/>
        </w:rPr>
        <w:t xml:space="preserve"> </w:t>
      </w:r>
      <w:r w:rsidR="0056629E" w:rsidRPr="00590260">
        <w:rPr>
          <w:i w:val="0"/>
        </w:rPr>
        <w:t>(</w:t>
      </w:r>
      <w:hyperlink r:id="rId17" w:history="1">
        <w:r w:rsidR="0056629E" w:rsidRPr="00590260">
          <w:rPr>
            <w:rStyle w:val="Hyperkobling"/>
            <w:i w:val="0"/>
          </w:rPr>
          <w:t>http://www.miljodirektoratet.no/no/Tema/Miljoovervakning/Inngrepsfrie-naturomrader-i-Norge-/</w:t>
        </w:r>
      </w:hyperlink>
      <w:r w:rsidR="0056629E" w:rsidRPr="00590260">
        <w:rPr>
          <w:i w:val="0"/>
        </w:rPr>
        <w:t xml:space="preserve">) </w:t>
      </w:r>
      <w:r w:rsidRPr="00590260">
        <w:rPr>
          <w:i w:val="0"/>
        </w:rPr>
        <w:t>og andre planer eller beskyttede områder.</w:t>
      </w:r>
      <w:r w:rsidR="00951475" w:rsidRPr="00951475">
        <w:rPr>
          <w:i w:val="0"/>
        </w:rPr>
        <w:t xml:space="preserve"> </w:t>
      </w:r>
      <w:r w:rsidR="00987684">
        <w:rPr>
          <w:i w:val="0"/>
        </w:rPr>
        <w:t>Hvis tiltaket fører til arealinngrep i vassdrag b</w:t>
      </w:r>
      <w:r w:rsidR="00987684" w:rsidRPr="00590260">
        <w:rPr>
          <w:i w:val="0"/>
        </w:rPr>
        <w:t>eskriv forholdet til Vernede vassdrag (</w:t>
      </w:r>
      <w:hyperlink r:id="rId18" w:history="1">
        <w:r w:rsidR="00987684" w:rsidRPr="00590260">
          <w:rPr>
            <w:rStyle w:val="Hyperkobling"/>
            <w:i w:val="0"/>
          </w:rPr>
          <w:t>http://www.nve.no/no/Vann-og-vassdrag/Verneplan/</w:t>
        </w:r>
      </w:hyperlink>
      <w:r w:rsidR="00987684" w:rsidRPr="00590260">
        <w:rPr>
          <w:i w:val="0"/>
        </w:rPr>
        <w:t xml:space="preserve">) </w:t>
      </w:r>
      <w:r w:rsidR="00987684">
        <w:rPr>
          <w:i w:val="0"/>
        </w:rPr>
        <w:t xml:space="preserve"> og</w:t>
      </w:r>
      <w:r w:rsidR="00987684" w:rsidRPr="00590260">
        <w:rPr>
          <w:i w:val="0"/>
        </w:rPr>
        <w:t xml:space="preserve"> nasjonale laksevassdrag (</w:t>
      </w:r>
      <w:hyperlink r:id="rId19" w:history="1">
        <w:r w:rsidR="00987684" w:rsidRPr="00590260">
          <w:rPr>
            <w:rStyle w:val="Hyperkobling"/>
            <w:i w:val="0"/>
          </w:rPr>
          <w:t>http://www.miljostatus.no/Tema/Ferskvann/Laks/Nasjonale-laksevassdrag-og-laksefjorder/</w:t>
        </w:r>
      </w:hyperlink>
      <w:r w:rsidR="00987684" w:rsidRPr="00590260">
        <w:rPr>
          <w:i w:val="0"/>
        </w:rPr>
        <w:t>)</w:t>
      </w:r>
      <w:r w:rsidR="00951475" w:rsidRPr="00951475">
        <w:rPr>
          <w:i w:val="0"/>
        </w:rPr>
        <w:t>]</w:t>
      </w:r>
    </w:p>
    <w:p w14:paraId="05D89025" w14:textId="77777777" w:rsidR="00EC537C" w:rsidRPr="00EC537C" w:rsidRDefault="00EC537C" w:rsidP="00EC537C">
      <w:pPr>
        <w:pStyle w:val="Brdtekst"/>
      </w:pPr>
    </w:p>
    <w:p w14:paraId="601E9C7A" w14:textId="77777777" w:rsidR="0045263A" w:rsidRPr="0045263A" w:rsidRDefault="0084378C" w:rsidP="00D57E31">
      <w:pPr>
        <w:pStyle w:val="Overskrift1"/>
      </w:pPr>
      <w:r w:rsidRPr="0045263A">
        <w:t>Tilleggsinformasjon</w:t>
      </w:r>
      <w:r w:rsidR="00F60C37">
        <w:t xml:space="preserve"> </w:t>
      </w:r>
    </w:p>
    <w:p w14:paraId="1165E7A3" w14:textId="77777777" w:rsidR="00D752D0" w:rsidRPr="00951475" w:rsidRDefault="002775DA" w:rsidP="00235023">
      <w:pPr>
        <w:pStyle w:val="Brdtekst"/>
      </w:pPr>
      <w:r w:rsidRPr="0093343D">
        <w:t>[</w:t>
      </w:r>
      <w:r w:rsidR="0090627F">
        <w:t>Har du tilleggsopplysninger som ikke fanges opp</w:t>
      </w:r>
      <w:r w:rsidR="00DD5183">
        <w:t xml:space="preserve"> andre steder</w:t>
      </w:r>
      <w:r w:rsidR="004176F4">
        <w:t xml:space="preserve">, kan du skrive det her. </w:t>
      </w:r>
      <w:r w:rsidR="001D362E">
        <w:t xml:space="preserve">Overskriften slettes </w:t>
      </w:r>
      <w:r w:rsidR="00F60C37">
        <w:t>hvis man ikke har tilleggsopplysninger</w:t>
      </w:r>
      <w:r w:rsidR="00951475" w:rsidRPr="00951475">
        <w:t>]</w:t>
      </w:r>
    </w:p>
    <w:p w14:paraId="0D742099" w14:textId="77777777" w:rsidR="0084378C" w:rsidRDefault="0084378C" w:rsidP="00D57E31">
      <w:pPr>
        <w:pStyle w:val="Overskrift1"/>
      </w:pPr>
      <w:r>
        <w:t xml:space="preserve">Vedlegg </w:t>
      </w:r>
    </w:p>
    <w:p w14:paraId="3B1352E4" w14:textId="77777777" w:rsidR="00232E89" w:rsidRPr="00E41794" w:rsidRDefault="006C6246" w:rsidP="00134354">
      <w:pPr>
        <w:pStyle w:val="NVEpunktmerket"/>
        <w:numPr>
          <w:ilvl w:val="0"/>
          <w:numId w:val="12"/>
        </w:numPr>
      </w:pPr>
      <w:r w:rsidRPr="00E41794">
        <w:t>Oversiktskart</w:t>
      </w:r>
      <w:r w:rsidR="00232E89" w:rsidRPr="00E41794">
        <w:t xml:space="preserve"> (1:50 000) </w:t>
      </w:r>
      <w:r w:rsidR="002775DA" w:rsidRPr="0093343D">
        <w:t>[</w:t>
      </w:r>
      <w:r w:rsidR="00134354">
        <w:t xml:space="preserve">Kartet skal på en oversiktlig og lesbar måte fortelle hvor grunnvannstiltaket planlegges. </w:t>
      </w:r>
      <w:r w:rsidR="004D64BF">
        <w:t>U</w:t>
      </w:r>
      <w:r w:rsidR="00232E89" w:rsidRPr="00E41794">
        <w:t>tbyggingsområdet</w:t>
      </w:r>
      <w:r w:rsidR="00134354">
        <w:t xml:space="preserve"> (brønnområdet)</w:t>
      </w:r>
      <w:r w:rsidR="004D64BF">
        <w:t xml:space="preserve"> skal være</w:t>
      </w:r>
      <w:r w:rsidR="00232E89" w:rsidRPr="00E41794">
        <w:t xml:space="preserve"> avmerket. </w:t>
      </w:r>
      <w:r w:rsidR="009437C9">
        <w:t>Tilsig</w:t>
      </w:r>
      <w:r w:rsidR="007211AE">
        <w:t>sområdet</w:t>
      </w:r>
      <w:r w:rsidR="00232E89" w:rsidRPr="00E41794">
        <w:t xml:space="preserve"> </w:t>
      </w:r>
      <w:r w:rsidR="004D64BF">
        <w:t>skal tegnes inn</w:t>
      </w:r>
      <w:r w:rsidR="00232E89" w:rsidRPr="00E41794">
        <w:t>. Kartet skal være tydelig og lesbart, med farger og gode tegnforklaringer.</w:t>
      </w:r>
      <w:r w:rsidR="00951475" w:rsidRPr="00951475">
        <w:t>]</w:t>
      </w:r>
    </w:p>
    <w:p w14:paraId="6F5FCF57" w14:textId="77777777" w:rsidR="00193BB5" w:rsidRDefault="00FB4F73" w:rsidP="00134354">
      <w:pPr>
        <w:pStyle w:val="NVEpunktmerket"/>
        <w:numPr>
          <w:ilvl w:val="0"/>
          <w:numId w:val="12"/>
        </w:numPr>
      </w:pPr>
      <w:r w:rsidRPr="00E41794">
        <w:t>D</w:t>
      </w:r>
      <w:r w:rsidR="0090627F" w:rsidRPr="00E41794">
        <w:t xml:space="preserve">etaljert kart over utbyggingsområdet (1:5000). </w:t>
      </w:r>
      <w:r w:rsidR="002775DA" w:rsidRPr="0093343D">
        <w:t>[</w:t>
      </w:r>
      <w:r w:rsidR="0090627F" w:rsidRPr="00E41794">
        <w:t>Kartet skal vise beliggenhet av</w:t>
      </w:r>
      <w:r w:rsidR="009437C9">
        <w:t xml:space="preserve"> brønner</w:t>
      </w:r>
      <w:r w:rsidR="00134354">
        <w:t>,</w:t>
      </w:r>
      <w:r w:rsidR="009437C9">
        <w:t xml:space="preserve"> ev. </w:t>
      </w:r>
      <w:r w:rsidR="00134354">
        <w:t>areal</w:t>
      </w:r>
      <w:r w:rsidR="009437C9">
        <w:t>inngrep</w:t>
      </w:r>
      <w:r w:rsidR="0090627F" w:rsidRPr="00E41794">
        <w:t xml:space="preserve"> </w:t>
      </w:r>
      <w:r w:rsidR="00134354">
        <w:t xml:space="preserve">i og ved innsjøer, elver og bekker og </w:t>
      </w:r>
      <w:r w:rsidR="00954801">
        <w:t>plassering</w:t>
      </w:r>
      <w:r w:rsidR="00134354">
        <w:t xml:space="preserve"> av ev. re-infiltrasjonsanlegg.  </w:t>
      </w:r>
      <w:r w:rsidR="0090627F" w:rsidRPr="00E41794">
        <w:t>Kartet skal være tydelig og lesbart, med gode tegnforklaringer. Prosjektet skal tegnes inn med fa</w:t>
      </w:r>
      <w:r w:rsidR="004D64BF">
        <w:t>rger.</w:t>
      </w:r>
      <w:r w:rsidR="00951475" w:rsidRPr="00951475">
        <w:t>]</w:t>
      </w:r>
    </w:p>
    <w:p w14:paraId="7368312F" w14:textId="77777777" w:rsidR="00FE2217" w:rsidRDefault="00BE36AB" w:rsidP="000F1A3E">
      <w:pPr>
        <w:pStyle w:val="NVEpunktmerket"/>
        <w:ind w:left="720"/>
      </w:pPr>
      <w:r>
        <w:t>For grunnvannsuttak fra løsmasser skal det legges ved kvartærgeologisk kart over utbyggingsområdet (1:5000)</w:t>
      </w:r>
      <w:r w:rsidR="000F1A3E">
        <w:t xml:space="preserve"> </w:t>
      </w:r>
      <w:r w:rsidR="000F1A3E" w:rsidRPr="0093343D">
        <w:t>[</w:t>
      </w:r>
      <w:r w:rsidR="000F1A3E">
        <w:t>Kartet skal være tydelig og lesbart, med gode tegnforklaringer</w:t>
      </w:r>
    </w:p>
    <w:p w14:paraId="49A226A1" w14:textId="7F33C611" w:rsidR="00134354" w:rsidRDefault="00134354" w:rsidP="00FE2217">
      <w:pPr>
        <w:pStyle w:val="NVEpunktmerket"/>
        <w:numPr>
          <w:ilvl w:val="0"/>
          <w:numId w:val="12"/>
        </w:numPr>
      </w:pPr>
      <w:r>
        <w:t>Kart der grunnvannsstrømninger (antatt) er inntegnet.</w:t>
      </w:r>
      <w:r w:rsidR="00B6334F">
        <w:t xml:space="preserve"> </w:t>
      </w:r>
      <w:r w:rsidR="00B6334F" w:rsidRPr="0093343D">
        <w:t>[</w:t>
      </w:r>
      <w:r w:rsidR="00B6334F">
        <w:t>Kartet skal være tydelig og lesbart, med gode tegnforklaringer</w:t>
      </w:r>
      <w:r w:rsidR="00B6334F" w:rsidRPr="00951475">
        <w:t>]</w:t>
      </w:r>
    </w:p>
    <w:p w14:paraId="6CB0C939" w14:textId="77777777" w:rsidR="00367361" w:rsidRDefault="00367361" w:rsidP="00367361">
      <w:pPr>
        <w:pStyle w:val="NVEpunktmerket"/>
        <w:numPr>
          <w:ilvl w:val="0"/>
          <w:numId w:val="12"/>
        </w:numPr>
      </w:pPr>
      <w:r>
        <w:t>Resultat fra ev. prøvepumping</w:t>
      </w:r>
    </w:p>
    <w:p w14:paraId="46F8476A" w14:textId="77777777" w:rsidR="002775DA" w:rsidRPr="00E41794" w:rsidRDefault="002775DA" w:rsidP="002775DA">
      <w:pPr>
        <w:pStyle w:val="NVEpunktmerket"/>
        <w:ind w:left="1145"/>
      </w:pPr>
    </w:p>
    <w:p w14:paraId="3DD893A3" w14:textId="77777777" w:rsidR="0084378C" w:rsidRPr="000877BA" w:rsidRDefault="0084378C" w:rsidP="000877BA">
      <w:pPr>
        <w:pStyle w:val="Brdtekst"/>
      </w:pPr>
    </w:p>
    <w:sectPr w:rsidR="0084378C" w:rsidRPr="000877BA" w:rsidSect="00F50E29">
      <w:footerReference w:type="default" r:id="rId20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3A44" w14:textId="77777777" w:rsidR="00C06495" w:rsidRDefault="00C06495">
      <w:r>
        <w:separator/>
      </w:r>
    </w:p>
  </w:endnote>
  <w:endnote w:type="continuationSeparator" w:id="0">
    <w:p w14:paraId="3EF237C9" w14:textId="77777777" w:rsidR="00C06495" w:rsidRDefault="00C0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360646"/>
      <w:docPartObj>
        <w:docPartGallery w:val="Page Numbers (Bottom of Page)"/>
        <w:docPartUnique/>
      </w:docPartObj>
    </w:sdtPr>
    <w:sdtEndPr/>
    <w:sdtContent>
      <w:p w14:paraId="091D32A7" w14:textId="15CBCA85" w:rsidR="00A71044" w:rsidRDefault="00A7104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85">
          <w:rPr>
            <w:noProof/>
          </w:rPr>
          <w:t>5</w:t>
        </w:r>
        <w:r>
          <w:fldChar w:fldCharType="end"/>
        </w:r>
      </w:p>
    </w:sdtContent>
  </w:sdt>
  <w:p w14:paraId="1EE529A7" w14:textId="77777777" w:rsidR="00A71044" w:rsidRDefault="00A710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FCF1" w14:textId="77777777" w:rsidR="00C06495" w:rsidRDefault="00C06495">
      <w:r>
        <w:separator/>
      </w:r>
    </w:p>
  </w:footnote>
  <w:footnote w:type="continuationSeparator" w:id="0">
    <w:p w14:paraId="282C8513" w14:textId="77777777" w:rsidR="00C06495" w:rsidRDefault="00C0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67DC9"/>
    <w:multiLevelType w:val="hybridMultilevel"/>
    <w:tmpl w:val="B560D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DCC"/>
    <w:multiLevelType w:val="hybridMultilevel"/>
    <w:tmpl w:val="00841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024B5"/>
    <w:multiLevelType w:val="hybridMultilevel"/>
    <w:tmpl w:val="B3F67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5DDB"/>
    <w:multiLevelType w:val="hybridMultilevel"/>
    <w:tmpl w:val="D27EB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CD2"/>
    <w:multiLevelType w:val="hybridMultilevel"/>
    <w:tmpl w:val="1E9CB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286A"/>
    <w:multiLevelType w:val="hybridMultilevel"/>
    <w:tmpl w:val="A9C44FAE"/>
    <w:lvl w:ilvl="0" w:tplc="041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8D7EDB"/>
    <w:multiLevelType w:val="hybridMultilevel"/>
    <w:tmpl w:val="DF767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2325"/>
    <w:multiLevelType w:val="hybridMultilevel"/>
    <w:tmpl w:val="DF240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570C"/>
    <w:multiLevelType w:val="hybridMultilevel"/>
    <w:tmpl w:val="7B46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9176A"/>
    <w:multiLevelType w:val="hybridMultilevel"/>
    <w:tmpl w:val="EF5AE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44344">
    <w:abstractNumId w:val="1"/>
  </w:num>
  <w:num w:numId="2" w16cid:durableId="739983611">
    <w:abstractNumId w:val="7"/>
  </w:num>
  <w:num w:numId="3" w16cid:durableId="663894731">
    <w:abstractNumId w:val="0"/>
  </w:num>
  <w:num w:numId="4" w16cid:durableId="49034235">
    <w:abstractNumId w:val="0"/>
  </w:num>
  <w:num w:numId="5" w16cid:durableId="1327587127">
    <w:abstractNumId w:val="9"/>
  </w:num>
  <w:num w:numId="6" w16cid:durableId="631986551">
    <w:abstractNumId w:val="8"/>
  </w:num>
  <w:num w:numId="7" w16cid:durableId="787773905">
    <w:abstractNumId w:val="5"/>
  </w:num>
  <w:num w:numId="8" w16cid:durableId="1701317962">
    <w:abstractNumId w:val="10"/>
  </w:num>
  <w:num w:numId="9" w16cid:durableId="678891911">
    <w:abstractNumId w:val="11"/>
  </w:num>
  <w:num w:numId="10" w16cid:durableId="298457722">
    <w:abstractNumId w:val="2"/>
  </w:num>
  <w:num w:numId="11" w16cid:durableId="1574388285">
    <w:abstractNumId w:val="4"/>
  </w:num>
  <w:num w:numId="12" w16cid:durableId="1226719997">
    <w:abstractNumId w:val="3"/>
  </w:num>
  <w:num w:numId="13" w16cid:durableId="776558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DF"/>
    <w:rsid w:val="00025815"/>
    <w:rsid w:val="00026A19"/>
    <w:rsid w:val="00055249"/>
    <w:rsid w:val="000641AC"/>
    <w:rsid w:val="00071933"/>
    <w:rsid w:val="00071B14"/>
    <w:rsid w:val="000877BA"/>
    <w:rsid w:val="000913FC"/>
    <w:rsid w:val="00092598"/>
    <w:rsid w:val="000970A7"/>
    <w:rsid w:val="000A4F95"/>
    <w:rsid w:val="000A7055"/>
    <w:rsid w:val="000B0235"/>
    <w:rsid w:val="000B1F73"/>
    <w:rsid w:val="000B496E"/>
    <w:rsid w:val="000C035E"/>
    <w:rsid w:val="000D58A6"/>
    <w:rsid w:val="000D7EC2"/>
    <w:rsid w:val="000E0C7E"/>
    <w:rsid w:val="000F0D39"/>
    <w:rsid w:val="000F1A3E"/>
    <w:rsid w:val="001163D5"/>
    <w:rsid w:val="00123092"/>
    <w:rsid w:val="001315F1"/>
    <w:rsid w:val="00134354"/>
    <w:rsid w:val="00142A36"/>
    <w:rsid w:val="00144D42"/>
    <w:rsid w:val="00147B85"/>
    <w:rsid w:val="0015461A"/>
    <w:rsid w:val="0015608D"/>
    <w:rsid w:val="00156521"/>
    <w:rsid w:val="00165B75"/>
    <w:rsid w:val="001705B0"/>
    <w:rsid w:val="00181AEC"/>
    <w:rsid w:val="00187B51"/>
    <w:rsid w:val="00187DFA"/>
    <w:rsid w:val="00193BB5"/>
    <w:rsid w:val="001A2C61"/>
    <w:rsid w:val="001A749A"/>
    <w:rsid w:val="001B0262"/>
    <w:rsid w:val="001B4484"/>
    <w:rsid w:val="001B756D"/>
    <w:rsid w:val="001D362E"/>
    <w:rsid w:val="001E0E1F"/>
    <w:rsid w:val="001F172E"/>
    <w:rsid w:val="001F2DB8"/>
    <w:rsid w:val="0020098F"/>
    <w:rsid w:val="0020593B"/>
    <w:rsid w:val="00213A24"/>
    <w:rsid w:val="002277F3"/>
    <w:rsid w:val="0023287E"/>
    <w:rsid w:val="00232E89"/>
    <w:rsid w:val="00235023"/>
    <w:rsid w:val="0024368F"/>
    <w:rsid w:val="002469B2"/>
    <w:rsid w:val="002472C5"/>
    <w:rsid w:val="00257498"/>
    <w:rsid w:val="002654C8"/>
    <w:rsid w:val="002700A3"/>
    <w:rsid w:val="00275AFC"/>
    <w:rsid w:val="002775DA"/>
    <w:rsid w:val="002823B3"/>
    <w:rsid w:val="00290070"/>
    <w:rsid w:val="00290354"/>
    <w:rsid w:val="00290B58"/>
    <w:rsid w:val="00290FE3"/>
    <w:rsid w:val="00292BC8"/>
    <w:rsid w:val="002A1231"/>
    <w:rsid w:val="002A1648"/>
    <w:rsid w:val="002A3C8F"/>
    <w:rsid w:val="002B2B24"/>
    <w:rsid w:val="002C1317"/>
    <w:rsid w:val="002D32D6"/>
    <w:rsid w:val="002D71D1"/>
    <w:rsid w:val="002E76B8"/>
    <w:rsid w:val="002F2352"/>
    <w:rsid w:val="002F28D1"/>
    <w:rsid w:val="00305AE1"/>
    <w:rsid w:val="003100B6"/>
    <w:rsid w:val="0032011C"/>
    <w:rsid w:val="0032244D"/>
    <w:rsid w:val="00325CEA"/>
    <w:rsid w:val="00327A2B"/>
    <w:rsid w:val="003372EF"/>
    <w:rsid w:val="00343DDF"/>
    <w:rsid w:val="003471B1"/>
    <w:rsid w:val="00347736"/>
    <w:rsid w:val="00357B87"/>
    <w:rsid w:val="003659B0"/>
    <w:rsid w:val="003660DB"/>
    <w:rsid w:val="00367361"/>
    <w:rsid w:val="0038142F"/>
    <w:rsid w:val="00387B0A"/>
    <w:rsid w:val="00391BB3"/>
    <w:rsid w:val="003927AF"/>
    <w:rsid w:val="0039317E"/>
    <w:rsid w:val="00396F38"/>
    <w:rsid w:val="003A2D78"/>
    <w:rsid w:val="003A5D8D"/>
    <w:rsid w:val="003A5FFB"/>
    <w:rsid w:val="003B0F16"/>
    <w:rsid w:val="003C0189"/>
    <w:rsid w:val="003C22B5"/>
    <w:rsid w:val="003C4AEE"/>
    <w:rsid w:val="003C4D8A"/>
    <w:rsid w:val="003C757E"/>
    <w:rsid w:val="003D0C15"/>
    <w:rsid w:val="003E1085"/>
    <w:rsid w:val="003E5169"/>
    <w:rsid w:val="003F54FE"/>
    <w:rsid w:val="00401D9C"/>
    <w:rsid w:val="00403677"/>
    <w:rsid w:val="00407630"/>
    <w:rsid w:val="004176F4"/>
    <w:rsid w:val="004210E3"/>
    <w:rsid w:val="00424054"/>
    <w:rsid w:val="0045263A"/>
    <w:rsid w:val="00473394"/>
    <w:rsid w:val="00473617"/>
    <w:rsid w:val="00474856"/>
    <w:rsid w:val="00486A0D"/>
    <w:rsid w:val="004A14EA"/>
    <w:rsid w:val="004A23DC"/>
    <w:rsid w:val="004A3D8F"/>
    <w:rsid w:val="004B2AAC"/>
    <w:rsid w:val="004B3CDD"/>
    <w:rsid w:val="004D154A"/>
    <w:rsid w:val="004D1D83"/>
    <w:rsid w:val="004D5659"/>
    <w:rsid w:val="004D64BF"/>
    <w:rsid w:val="004E05CE"/>
    <w:rsid w:val="004E0762"/>
    <w:rsid w:val="004E1560"/>
    <w:rsid w:val="0050123E"/>
    <w:rsid w:val="0053203E"/>
    <w:rsid w:val="00551CD8"/>
    <w:rsid w:val="005561C9"/>
    <w:rsid w:val="0056629E"/>
    <w:rsid w:val="00573DDB"/>
    <w:rsid w:val="00574275"/>
    <w:rsid w:val="0058582E"/>
    <w:rsid w:val="00590260"/>
    <w:rsid w:val="005A14BB"/>
    <w:rsid w:val="005B2B2B"/>
    <w:rsid w:val="005C2BF8"/>
    <w:rsid w:val="005C49CB"/>
    <w:rsid w:val="005D2827"/>
    <w:rsid w:val="005E79E4"/>
    <w:rsid w:val="005F30CF"/>
    <w:rsid w:val="00607934"/>
    <w:rsid w:val="00624F4E"/>
    <w:rsid w:val="00631E81"/>
    <w:rsid w:val="006345FF"/>
    <w:rsid w:val="006377AC"/>
    <w:rsid w:val="00642AB8"/>
    <w:rsid w:val="0064591B"/>
    <w:rsid w:val="0065116D"/>
    <w:rsid w:val="00655044"/>
    <w:rsid w:val="00660159"/>
    <w:rsid w:val="00665C8C"/>
    <w:rsid w:val="00672F8A"/>
    <w:rsid w:val="006763E6"/>
    <w:rsid w:val="00680F39"/>
    <w:rsid w:val="006822B5"/>
    <w:rsid w:val="006851D7"/>
    <w:rsid w:val="00686F41"/>
    <w:rsid w:val="006A21CA"/>
    <w:rsid w:val="006A47C9"/>
    <w:rsid w:val="006A7196"/>
    <w:rsid w:val="006C37E5"/>
    <w:rsid w:val="006C6246"/>
    <w:rsid w:val="006C7BDD"/>
    <w:rsid w:val="006D5CBF"/>
    <w:rsid w:val="006E2D67"/>
    <w:rsid w:val="006E5AC0"/>
    <w:rsid w:val="006E6379"/>
    <w:rsid w:val="006F2E81"/>
    <w:rsid w:val="006F6D6E"/>
    <w:rsid w:val="007211AE"/>
    <w:rsid w:val="00721B0A"/>
    <w:rsid w:val="007300F8"/>
    <w:rsid w:val="00742316"/>
    <w:rsid w:val="00757376"/>
    <w:rsid w:val="0076668A"/>
    <w:rsid w:val="00785C34"/>
    <w:rsid w:val="00795B87"/>
    <w:rsid w:val="007C0937"/>
    <w:rsid w:val="007C25E8"/>
    <w:rsid w:val="007C323B"/>
    <w:rsid w:val="007C4DAC"/>
    <w:rsid w:val="007D0ED0"/>
    <w:rsid w:val="007D1665"/>
    <w:rsid w:val="007D21F5"/>
    <w:rsid w:val="007D7858"/>
    <w:rsid w:val="007F43B1"/>
    <w:rsid w:val="007F639A"/>
    <w:rsid w:val="007F6F6B"/>
    <w:rsid w:val="00807957"/>
    <w:rsid w:val="00814E7B"/>
    <w:rsid w:val="00830F56"/>
    <w:rsid w:val="008346AF"/>
    <w:rsid w:val="0084378C"/>
    <w:rsid w:val="0085078B"/>
    <w:rsid w:val="00854564"/>
    <w:rsid w:val="00862012"/>
    <w:rsid w:val="0086515F"/>
    <w:rsid w:val="00866451"/>
    <w:rsid w:val="00871BC4"/>
    <w:rsid w:val="00871C54"/>
    <w:rsid w:val="00880BB3"/>
    <w:rsid w:val="0088465A"/>
    <w:rsid w:val="008869C8"/>
    <w:rsid w:val="008A3903"/>
    <w:rsid w:val="008B63D3"/>
    <w:rsid w:val="008C24F7"/>
    <w:rsid w:val="008D1004"/>
    <w:rsid w:val="008D2CD9"/>
    <w:rsid w:val="008D5FC5"/>
    <w:rsid w:val="008D72DF"/>
    <w:rsid w:val="008D75A6"/>
    <w:rsid w:val="008E0A53"/>
    <w:rsid w:val="008F7BF7"/>
    <w:rsid w:val="009002FC"/>
    <w:rsid w:val="0090627F"/>
    <w:rsid w:val="00907ECC"/>
    <w:rsid w:val="00920A99"/>
    <w:rsid w:val="00920ACB"/>
    <w:rsid w:val="00927232"/>
    <w:rsid w:val="0092793E"/>
    <w:rsid w:val="0093343D"/>
    <w:rsid w:val="00933B47"/>
    <w:rsid w:val="0094196A"/>
    <w:rsid w:val="009437C9"/>
    <w:rsid w:val="00946691"/>
    <w:rsid w:val="009503DB"/>
    <w:rsid w:val="00951475"/>
    <w:rsid w:val="00954801"/>
    <w:rsid w:val="00967341"/>
    <w:rsid w:val="00985183"/>
    <w:rsid w:val="00987684"/>
    <w:rsid w:val="00992372"/>
    <w:rsid w:val="009973E2"/>
    <w:rsid w:val="009A0A6F"/>
    <w:rsid w:val="009C4C64"/>
    <w:rsid w:val="00A004C0"/>
    <w:rsid w:val="00A00BD4"/>
    <w:rsid w:val="00A01D15"/>
    <w:rsid w:val="00A02CB6"/>
    <w:rsid w:val="00A03FE6"/>
    <w:rsid w:val="00A07D32"/>
    <w:rsid w:val="00A17C5D"/>
    <w:rsid w:val="00A220FD"/>
    <w:rsid w:val="00A238E7"/>
    <w:rsid w:val="00A243F2"/>
    <w:rsid w:val="00A26D5D"/>
    <w:rsid w:val="00A27D79"/>
    <w:rsid w:val="00A338A3"/>
    <w:rsid w:val="00A4609D"/>
    <w:rsid w:val="00A564E5"/>
    <w:rsid w:val="00A71044"/>
    <w:rsid w:val="00A73D0B"/>
    <w:rsid w:val="00A7659E"/>
    <w:rsid w:val="00AA0E14"/>
    <w:rsid w:val="00AA18F0"/>
    <w:rsid w:val="00AA7523"/>
    <w:rsid w:val="00AA76E1"/>
    <w:rsid w:val="00AB1053"/>
    <w:rsid w:val="00AC22F5"/>
    <w:rsid w:val="00AC2476"/>
    <w:rsid w:val="00AC39E2"/>
    <w:rsid w:val="00AD3C1B"/>
    <w:rsid w:val="00AE334C"/>
    <w:rsid w:val="00AF02C2"/>
    <w:rsid w:val="00B01109"/>
    <w:rsid w:val="00B0441F"/>
    <w:rsid w:val="00B141F8"/>
    <w:rsid w:val="00B14C5E"/>
    <w:rsid w:val="00B161D7"/>
    <w:rsid w:val="00B2374B"/>
    <w:rsid w:val="00B261A3"/>
    <w:rsid w:val="00B35B81"/>
    <w:rsid w:val="00B3794D"/>
    <w:rsid w:val="00B37D32"/>
    <w:rsid w:val="00B434AA"/>
    <w:rsid w:val="00B443DC"/>
    <w:rsid w:val="00B515B2"/>
    <w:rsid w:val="00B62FC2"/>
    <w:rsid w:val="00B6334F"/>
    <w:rsid w:val="00B65102"/>
    <w:rsid w:val="00B719E0"/>
    <w:rsid w:val="00B7254E"/>
    <w:rsid w:val="00B75424"/>
    <w:rsid w:val="00B810D7"/>
    <w:rsid w:val="00B84C26"/>
    <w:rsid w:val="00B91A29"/>
    <w:rsid w:val="00B9509E"/>
    <w:rsid w:val="00BB252D"/>
    <w:rsid w:val="00BC0600"/>
    <w:rsid w:val="00BC2A65"/>
    <w:rsid w:val="00BC2BA1"/>
    <w:rsid w:val="00BC4E41"/>
    <w:rsid w:val="00BD3D5D"/>
    <w:rsid w:val="00BE36AB"/>
    <w:rsid w:val="00C01144"/>
    <w:rsid w:val="00C02627"/>
    <w:rsid w:val="00C02CF7"/>
    <w:rsid w:val="00C06495"/>
    <w:rsid w:val="00C06837"/>
    <w:rsid w:val="00C121AE"/>
    <w:rsid w:val="00C12F16"/>
    <w:rsid w:val="00C164C4"/>
    <w:rsid w:val="00C21B8B"/>
    <w:rsid w:val="00C530C7"/>
    <w:rsid w:val="00C577E6"/>
    <w:rsid w:val="00C6679F"/>
    <w:rsid w:val="00C67FD6"/>
    <w:rsid w:val="00C82EA0"/>
    <w:rsid w:val="00C8347A"/>
    <w:rsid w:val="00C9358A"/>
    <w:rsid w:val="00CA6C25"/>
    <w:rsid w:val="00CB0CD5"/>
    <w:rsid w:val="00CB3B79"/>
    <w:rsid w:val="00CC38DF"/>
    <w:rsid w:val="00CC4339"/>
    <w:rsid w:val="00CC730E"/>
    <w:rsid w:val="00CD0F69"/>
    <w:rsid w:val="00CD43CD"/>
    <w:rsid w:val="00CF281A"/>
    <w:rsid w:val="00CF4858"/>
    <w:rsid w:val="00D04D05"/>
    <w:rsid w:val="00D06626"/>
    <w:rsid w:val="00D116B0"/>
    <w:rsid w:val="00D1606D"/>
    <w:rsid w:val="00D179FD"/>
    <w:rsid w:val="00D36076"/>
    <w:rsid w:val="00D41D49"/>
    <w:rsid w:val="00D479A5"/>
    <w:rsid w:val="00D510C1"/>
    <w:rsid w:val="00D57E31"/>
    <w:rsid w:val="00D61836"/>
    <w:rsid w:val="00D626E3"/>
    <w:rsid w:val="00D677E2"/>
    <w:rsid w:val="00D752D0"/>
    <w:rsid w:val="00D82A68"/>
    <w:rsid w:val="00DA15F1"/>
    <w:rsid w:val="00DB0BC8"/>
    <w:rsid w:val="00DB6469"/>
    <w:rsid w:val="00DB6BA1"/>
    <w:rsid w:val="00DC3AAB"/>
    <w:rsid w:val="00DC5849"/>
    <w:rsid w:val="00DD5183"/>
    <w:rsid w:val="00DE26F2"/>
    <w:rsid w:val="00DE2D9A"/>
    <w:rsid w:val="00DF33B0"/>
    <w:rsid w:val="00DF3B32"/>
    <w:rsid w:val="00DF3CA6"/>
    <w:rsid w:val="00DF5EBB"/>
    <w:rsid w:val="00DF6F9D"/>
    <w:rsid w:val="00E011FA"/>
    <w:rsid w:val="00E01D3D"/>
    <w:rsid w:val="00E10CFA"/>
    <w:rsid w:val="00E27CBB"/>
    <w:rsid w:val="00E304DD"/>
    <w:rsid w:val="00E34C31"/>
    <w:rsid w:val="00E400A2"/>
    <w:rsid w:val="00E41794"/>
    <w:rsid w:val="00E427B4"/>
    <w:rsid w:val="00E535FC"/>
    <w:rsid w:val="00E55796"/>
    <w:rsid w:val="00E61767"/>
    <w:rsid w:val="00E66238"/>
    <w:rsid w:val="00E73EBA"/>
    <w:rsid w:val="00E80538"/>
    <w:rsid w:val="00E8221C"/>
    <w:rsid w:val="00E94502"/>
    <w:rsid w:val="00E970D5"/>
    <w:rsid w:val="00EA3A67"/>
    <w:rsid w:val="00EB11A0"/>
    <w:rsid w:val="00EB1E2E"/>
    <w:rsid w:val="00EC537C"/>
    <w:rsid w:val="00EC7B3F"/>
    <w:rsid w:val="00ED4CBB"/>
    <w:rsid w:val="00EE6B4D"/>
    <w:rsid w:val="00EE7242"/>
    <w:rsid w:val="00EF1C9A"/>
    <w:rsid w:val="00F02021"/>
    <w:rsid w:val="00F04250"/>
    <w:rsid w:val="00F065D4"/>
    <w:rsid w:val="00F15603"/>
    <w:rsid w:val="00F21B8A"/>
    <w:rsid w:val="00F22EC4"/>
    <w:rsid w:val="00F37C65"/>
    <w:rsid w:val="00F46791"/>
    <w:rsid w:val="00F50E29"/>
    <w:rsid w:val="00F543D9"/>
    <w:rsid w:val="00F60C37"/>
    <w:rsid w:val="00F642E1"/>
    <w:rsid w:val="00F77B7A"/>
    <w:rsid w:val="00F821D0"/>
    <w:rsid w:val="00F91B19"/>
    <w:rsid w:val="00FA4142"/>
    <w:rsid w:val="00FB0F6B"/>
    <w:rsid w:val="00FB20D4"/>
    <w:rsid w:val="00FB3CFD"/>
    <w:rsid w:val="00FB4F73"/>
    <w:rsid w:val="00FB5B1D"/>
    <w:rsid w:val="00FD379D"/>
    <w:rsid w:val="00FE2217"/>
    <w:rsid w:val="00FE6BEA"/>
    <w:rsid w:val="00FE7198"/>
    <w:rsid w:val="00FE7CF8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88EC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44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spacing w:after="60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Bobletekst">
    <w:name w:val="Balloon Text"/>
    <w:basedOn w:val="Normal"/>
    <w:link w:val="BobletekstTegn"/>
    <w:rsid w:val="00337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372E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72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rsid w:val="00830F56"/>
    <w:rPr>
      <w:rFonts w:ascii="Times" w:hAnsi="Times" w:cs="Times"/>
    </w:rPr>
  </w:style>
  <w:style w:type="character" w:styleId="Merknadsreferanse">
    <w:name w:val="annotation reference"/>
    <w:basedOn w:val="Standardskriftforavsnitt"/>
    <w:rsid w:val="006C62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C62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6C6246"/>
    <w:rPr>
      <w:rFonts w:ascii="Times" w:hAnsi="Times" w:cs="Time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rsid w:val="006C62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C6246"/>
    <w:rPr>
      <w:rFonts w:ascii="Times" w:hAnsi="Times" w:cs="Time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62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eiledningoverskrift1">
    <w:name w:val="veiledningoverskrift1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customStyle="1" w:styleId="veiledningoverskrift2">
    <w:name w:val="veiledningoverskrift2"/>
    <w:basedOn w:val="Standardskriftforavsnitt"/>
    <w:rsid w:val="0090627F"/>
    <w:rPr>
      <w:rFonts w:ascii="Verdana" w:hAnsi="Verdana" w:hint="default"/>
      <w:b/>
      <w:bCs/>
      <w:color w:val="66000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0627F"/>
    <w:rPr>
      <w:color w:val="25408F"/>
      <w:u w:val="single"/>
    </w:rPr>
  </w:style>
  <w:style w:type="paragraph" w:styleId="Listeavsnitt">
    <w:name w:val="List Paragraph"/>
    <w:basedOn w:val="Normal"/>
    <w:uiPriority w:val="34"/>
    <w:rsid w:val="007300F8"/>
    <w:pPr>
      <w:ind w:left="720"/>
      <w:contextualSpacing/>
    </w:pPr>
  </w:style>
  <w:style w:type="character" w:styleId="Fulgthyperkobling">
    <w:name w:val="FollowedHyperlink"/>
    <w:basedOn w:val="Standardskriftforavsnitt"/>
    <w:rsid w:val="00EA3A6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6377AC"/>
    <w:rPr>
      <w:rFonts w:ascii="Times" w:hAnsi="Times" w:cs="Times"/>
    </w:rPr>
  </w:style>
  <w:style w:type="paragraph" w:styleId="Bunntekst">
    <w:name w:val="footer"/>
    <w:basedOn w:val="Normal"/>
    <w:link w:val="BunntekstTegn"/>
    <w:uiPriority w:val="99"/>
    <w:unhideWhenUsed/>
    <w:rsid w:val="006377A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77AC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36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450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3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607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9113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332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11224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331">
                  <w:marLeft w:val="0"/>
                  <w:marRight w:val="0"/>
                  <w:marTop w:val="0"/>
                  <w:marBottom w:val="0"/>
                  <w:divBdr>
                    <w:top w:val="single" w:sz="6" w:space="0" w:color="87CEEB"/>
                    <w:left w:val="single" w:sz="6" w:space="0" w:color="87CEEB"/>
                    <w:bottom w:val="single" w:sz="6" w:space="0" w:color="87CEEB"/>
                    <w:right w:val="single" w:sz="6" w:space="0" w:color="87CEEB"/>
                  </w:divBdr>
                  <w:divsChild>
                    <w:div w:id="20284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" TargetMode="External"/><Relationship Id="rId13" Type="http://schemas.openxmlformats.org/officeDocument/2006/relationships/hyperlink" Target="http://www.kulturminnesok.no/" TargetMode="External"/><Relationship Id="rId18" Type="http://schemas.openxmlformats.org/officeDocument/2006/relationships/hyperlink" Target="http://www.nve.no/no/Vann-og-vassdrag/Vernepla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kha\AppData\Local\Microsoft\Windows\Temporary%20Internet%20Files\Content.Outlook\PLEF7EAW\reindrift%20(http:\www.reindrift.no\),%20," TargetMode="External"/><Relationship Id="rId17" Type="http://schemas.openxmlformats.org/officeDocument/2006/relationships/hyperlink" Target="http://www.miljodirektoratet.no/no/Tema/Miljoovervakning/Inngrepsfrie-naturomrader-i-Norge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gu.no/emne/kartinnsy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limatilpasning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rednett.no" TargetMode="External"/><Relationship Id="rId10" Type="http://schemas.openxmlformats.org/officeDocument/2006/relationships/hyperlink" Target="http://www.milj&#248;direktoratet.no/kart/" TargetMode="External"/><Relationship Id="rId19" Type="http://schemas.openxmlformats.org/officeDocument/2006/relationships/hyperlink" Target="http://www.miljostatus.no/Tema/Ferskvann/Laks/Nasjonale-laksevassdrag-og-laksefjor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skart.artsdatabanken.no/Default.aspx" TargetMode="External"/><Relationship Id="rId14" Type="http://schemas.openxmlformats.org/officeDocument/2006/relationships/hyperlink" Target="http://publikasjoner.nve.no/retningslinjer/2011/retningslinjer2011_0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CF9F-33B8-4DD2-84FB-F967D570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10873</Characters>
  <Application>Microsoft Office Word</Application>
  <DocSecurity>0</DocSecurity>
  <Lines>90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2018-09-12T10:01:00Z</dcterms:created>
  <dcterms:modified xsi:type="dcterms:W3CDTF">2022-05-13T06:46:00Z</dcterms:modified>
</cp:coreProperties>
</file>